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76740" w14:textId="0CD917C5" w:rsidR="00410324" w:rsidRDefault="00CC16B7" w:rsidP="00410324">
      <w:pPr>
        <w:spacing w:before="60" w:after="120"/>
        <w:rPr>
          <w:rFonts w:ascii="Verdana" w:eastAsia="Verdana" w:hAnsi="Verdana" w:cs="Verdana"/>
          <w:b/>
          <w:bCs/>
          <w:color w:val="333333"/>
        </w:rPr>
      </w:pPr>
      <w:r>
        <w:rPr>
          <w:rFonts w:asciiTheme="majorHAnsi" w:hAnsiTheme="majorHAnsi"/>
          <w:i/>
          <w:iCs/>
          <w:noProof/>
          <w:color w:val="auto"/>
          <w:sz w:val="22"/>
          <w:szCs w:val="22"/>
        </w:rPr>
        <w:drawing>
          <wp:anchor distT="0" distB="0" distL="114300" distR="114300" simplePos="0" relativeHeight="251664384" behindDoc="1" locked="0" layoutInCell="1" allowOverlap="1" wp14:anchorId="1261217D" wp14:editId="387CBF1A">
            <wp:simplePos x="0" y="0"/>
            <wp:positionH relativeFrom="column">
              <wp:posOffset>4264804</wp:posOffset>
            </wp:positionH>
            <wp:positionV relativeFrom="paragraph">
              <wp:posOffset>56</wp:posOffset>
            </wp:positionV>
            <wp:extent cx="1785668" cy="859279"/>
            <wp:effectExtent l="0" t="0" r="0" b="0"/>
            <wp:wrapTight wrapText="bothSides">
              <wp:wrapPolygon edited="0">
                <wp:start x="2535" y="2874"/>
                <wp:lineTo x="1844" y="5747"/>
                <wp:lineTo x="1383" y="8621"/>
                <wp:lineTo x="1383" y="18200"/>
                <wp:lineTo x="13826" y="18200"/>
                <wp:lineTo x="15209" y="17242"/>
                <wp:lineTo x="19127" y="12931"/>
                <wp:lineTo x="19127" y="11494"/>
                <wp:lineTo x="20279" y="6226"/>
                <wp:lineTo x="19127" y="4789"/>
                <wp:lineTo x="12444" y="2874"/>
                <wp:lineTo x="2535" y="2874"/>
              </wp:wrapPolygon>
            </wp:wrapTight>
            <wp:docPr id="12783036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1836" cy="86705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67DE4B" w14:textId="078E405C" w:rsidR="00410324" w:rsidRDefault="00410324" w:rsidP="00410324">
      <w:pPr>
        <w:spacing w:before="60" w:after="120"/>
        <w:rPr>
          <w:rFonts w:ascii="Verdana" w:eastAsia="Verdana" w:hAnsi="Verdana" w:cs="Verdana"/>
          <w:b/>
          <w:bCs/>
          <w:color w:val="333333"/>
          <w:highlight w:val="yellow"/>
        </w:rPr>
      </w:pPr>
      <w:r>
        <w:rPr>
          <w:noProof/>
        </w:rPr>
        <w:drawing>
          <wp:anchor distT="0" distB="0" distL="114300" distR="114300" simplePos="0" relativeHeight="251662336" behindDoc="0" locked="0" layoutInCell="1" hidden="0" allowOverlap="1" wp14:anchorId="237F75E6" wp14:editId="22028C2C">
            <wp:simplePos x="0" y="0"/>
            <wp:positionH relativeFrom="column">
              <wp:posOffset>48895</wp:posOffset>
            </wp:positionH>
            <wp:positionV relativeFrom="paragraph">
              <wp:posOffset>15240</wp:posOffset>
            </wp:positionV>
            <wp:extent cx="2285365" cy="322580"/>
            <wp:effectExtent l="0" t="0" r="635" b="1270"/>
            <wp:wrapNone/>
            <wp:docPr id="20646597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285365" cy="322580"/>
                    </a:xfrm>
                    <a:prstGeom prst="rect">
                      <a:avLst/>
                    </a:prstGeom>
                    <a:ln/>
                  </pic:spPr>
                </pic:pic>
              </a:graphicData>
            </a:graphic>
          </wp:anchor>
        </w:drawing>
      </w:r>
    </w:p>
    <w:p w14:paraId="77C7A974" w14:textId="26E7273D" w:rsidR="00410324" w:rsidRDefault="00410324" w:rsidP="00410324">
      <w:pPr>
        <w:jc w:val="center"/>
        <w:rPr>
          <w:rFonts w:ascii="Verdana" w:eastAsia="Verdana" w:hAnsi="Verdana" w:cs="Verdana"/>
          <w:b/>
          <w:bCs/>
          <w:sz w:val="24"/>
          <w:szCs w:val="24"/>
        </w:rPr>
      </w:pPr>
    </w:p>
    <w:p w14:paraId="41BCB403" w14:textId="77777777" w:rsidR="00410324" w:rsidRDefault="00410324" w:rsidP="00410324">
      <w:pPr>
        <w:spacing w:after="240"/>
        <w:jc w:val="center"/>
        <w:rPr>
          <w:rFonts w:ascii="Verdana" w:eastAsia="Verdana" w:hAnsi="Verdana" w:cs="Verdana"/>
          <w:b/>
          <w:bCs/>
          <w:sz w:val="24"/>
          <w:szCs w:val="24"/>
        </w:rPr>
      </w:pPr>
      <w:r>
        <w:rPr>
          <w:noProof/>
        </w:rPr>
        <mc:AlternateContent>
          <mc:Choice Requires="wps">
            <w:drawing>
              <wp:anchor distT="0" distB="0" distL="114300" distR="114300" simplePos="0" relativeHeight="251663360" behindDoc="0" locked="0" layoutInCell="1" hidden="0" allowOverlap="1" wp14:anchorId="40E68AFB" wp14:editId="676E9AF8">
                <wp:simplePos x="0" y="0"/>
                <wp:positionH relativeFrom="column">
                  <wp:posOffset>33020</wp:posOffset>
                </wp:positionH>
                <wp:positionV relativeFrom="paragraph">
                  <wp:posOffset>78105</wp:posOffset>
                </wp:positionV>
                <wp:extent cx="5970270" cy="41275"/>
                <wp:effectExtent l="0" t="0" r="30480" b="34925"/>
                <wp:wrapNone/>
                <wp:docPr id="2064659699" name="Straight Arrow Connector 2064659699"/>
                <wp:cNvGraphicFramePr/>
                <a:graphic xmlns:a="http://schemas.openxmlformats.org/drawingml/2006/main">
                  <a:graphicData uri="http://schemas.microsoft.com/office/word/2010/wordprocessingShape">
                    <wps:wsp>
                      <wps:cNvCnPr/>
                      <wps:spPr>
                        <a:xfrm rot="10800000" flipH="1">
                          <a:off x="0" y="0"/>
                          <a:ext cx="5970270" cy="41275"/>
                        </a:xfrm>
                        <a:prstGeom prst="straightConnector1">
                          <a:avLst/>
                        </a:prstGeom>
                        <a:noFill/>
                        <a:ln w="9525" cap="flat" cmpd="sng">
                          <a:solidFill>
                            <a:srgbClr val="AE694A"/>
                          </a:solidFill>
                          <a:prstDash val="solid"/>
                          <a:round/>
                          <a:headEnd type="none" w="sm" len="sm"/>
                          <a:tailEnd type="none" w="sm" len="sm"/>
                        </a:ln>
                      </wps:spPr>
                      <wps:bodyPr/>
                    </wps:wsp>
                  </a:graphicData>
                </a:graphic>
              </wp:anchor>
            </w:drawing>
          </mc:Choice>
          <mc:Fallback xmlns:w16cei="http://schemas.microsoft.com/office/word/2026/wordml/cei">
            <w:pict>
              <v:shapetype w14:anchorId="138D0DC5" id="_x0000_t32" coordsize="21600,21600" o:spt="32" o:oned="t" path="m,l21600,21600e" filled="f">
                <v:path arrowok="t" fillok="f" o:connecttype="none"/>
                <o:lock v:ext="edit" shapetype="t"/>
              </v:shapetype>
              <v:shape id="Straight Arrow Connector 2064659699" o:spid="_x0000_s1026" type="#_x0000_t32" style="position:absolute;margin-left:2.6pt;margin-top:6.15pt;width:470.1pt;height:3.25pt;rotation:180;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" strokecolor="#ae694a">
                <v:stroke startarrowwidth="narrow" startarrowlength="short" endarrowwidth="narrow" endarrowlength="short"/>
              </v:shape>
            </w:pict>
          </mc:Fallback>
        </mc:AlternateContent>
      </w:r>
    </w:p>
    <w:p w14:paraId="7536ACFE" w14:textId="37E8432F" w:rsidR="001D2B08" w:rsidRPr="00410324" w:rsidRDefault="0066372C" w:rsidP="002544BB">
      <w:pPr>
        <w:spacing w:before="60" w:after="120"/>
        <w:jc w:val="center"/>
        <w:rPr>
          <w:rFonts w:asciiTheme="majorHAnsi" w:hAnsiTheme="majorHAnsi"/>
          <w:color w:val="auto"/>
          <w:sz w:val="28"/>
          <w:szCs w:val="28"/>
        </w:rPr>
      </w:pPr>
      <w:r w:rsidRPr="00410324">
        <w:rPr>
          <w:rFonts w:asciiTheme="majorHAnsi" w:hAnsiTheme="majorHAnsi"/>
          <w:b/>
          <w:bCs/>
          <w:color w:val="auto"/>
          <w:sz w:val="28"/>
          <w:szCs w:val="28"/>
        </w:rPr>
        <w:t xml:space="preserve">Telesat </w:t>
      </w:r>
      <w:r w:rsidR="007C559E" w:rsidRPr="00410324">
        <w:rPr>
          <w:rFonts w:asciiTheme="majorHAnsi" w:hAnsiTheme="majorHAnsi"/>
          <w:b/>
          <w:bCs/>
          <w:color w:val="auto"/>
          <w:sz w:val="28"/>
          <w:szCs w:val="28"/>
        </w:rPr>
        <w:t>a</w:t>
      </w:r>
      <w:r w:rsidR="002544BB" w:rsidRPr="00410324">
        <w:rPr>
          <w:rFonts w:asciiTheme="majorHAnsi" w:hAnsiTheme="majorHAnsi"/>
          <w:b/>
          <w:bCs/>
          <w:color w:val="auto"/>
          <w:sz w:val="28"/>
          <w:szCs w:val="28"/>
        </w:rPr>
        <w:t xml:space="preserve">nd </w:t>
      </w:r>
      <w:proofErr w:type="spellStart"/>
      <w:r w:rsidR="002544BB" w:rsidRPr="00410324">
        <w:rPr>
          <w:rFonts w:asciiTheme="majorHAnsi" w:hAnsiTheme="majorHAnsi"/>
          <w:b/>
          <w:bCs/>
          <w:color w:val="auto"/>
          <w:sz w:val="28"/>
          <w:szCs w:val="28"/>
        </w:rPr>
        <w:t>SatPort</w:t>
      </w:r>
      <w:proofErr w:type="spellEnd"/>
      <w:r w:rsidR="002544BB" w:rsidRPr="00410324">
        <w:rPr>
          <w:rFonts w:asciiTheme="majorHAnsi" w:hAnsiTheme="majorHAnsi"/>
          <w:b/>
          <w:bCs/>
          <w:color w:val="auto"/>
          <w:sz w:val="28"/>
          <w:szCs w:val="28"/>
        </w:rPr>
        <w:t xml:space="preserve"> </w:t>
      </w:r>
      <w:r w:rsidR="00976671" w:rsidRPr="00410324">
        <w:rPr>
          <w:rFonts w:asciiTheme="majorHAnsi" w:hAnsiTheme="majorHAnsi"/>
          <w:b/>
          <w:bCs/>
          <w:color w:val="auto"/>
          <w:sz w:val="28"/>
          <w:szCs w:val="28"/>
        </w:rPr>
        <w:t xml:space="preserve">Infrastructure </w:t>
      </w:r>
      <w:r w:rsidR="002544BB" w:rsidRPr="00410324">
        <w:rPr>
          <w:rFonts w:asciiTheme="majorHAnsi" w:hAnsiTheme="majorHAnsi"/>
          <w:b/>
          <w:bCs/>
          <w:color w:val="auto"/>
          <w:sz w:val="28"/>
          <w:szCs w:val="28"/>
        </w:rPr>
        <w:t xml:space="preserve">Sign Global Build-To-Suit Agreement </w:t>
      </w:r>
      <w:r w:rsidR="00F865F3" w:rsidRPr="00410324">
        <w:rPr>
          <w:rFonts w:asciiTheme="majorHAnsi" w:hAnsiTheme="majorHAnsi"/>
          <w:b/>
          <w:bCs/>
          <w:color w:val="auto"/>
          <w:sz w:val="28"/>
          <w:szCs w:val="28"/>
        </w:rPr>
        <w:t>to</w:t>
      </w:r>
      <w:r w:rsidR="002544BB" w:rsidRPr="00410324">
        <w:rPr>
          <w:rFonts w:asciiTheme="majorHAnsi" w:hAnsiTheme="majorHAnsi"/>
          <w:b/>
          <w:bCs/>
          <w:color w:val="auto"/>
          <w:sz w:val="28"/>
          <w:szCs w:val="28"/>
        </w:rPr>
        <w:t xml:space="preserve"> Expand </w:t>
      </w:r>
      <w:r w:rsidRPr="00410324">
        <w:rPr>
          <w:rFonts w:asciiTheme="majorHAnsi" w:hAnsiTheme="majorHAnsi"/>
          <w:b/>
          <w:bCs/>
          <w:color w:val="auto"/>
          <w:sz w:val="28"/>
          <w:szCs w:val="28"/>
        </w:rPr>
        <w:t>Telesat Light</w:t>
      </w:r>
      <w:r w:rsidR="00332934" w:rsidRPr="00410324">
        <w:rPr>
          <w:rFonts w:asciiTheme="majorHAnsi" w:hAnsiTheme="majorHAnsi"/>
          <w:b/>
          <w:bCs/>
          <w:color w:val="auto"/>
          <w:sz w:val="28"/>
          <w:szCs w:val="28"/>
        </w:rPr>
        <w:t>s</w:t>
      </w:r>
      <w:r w:rsidRPr="00410324">
        <w:rPr>
          <w:rFonts w:asciiTheme="majorHAnsi" w:hAnsiTheme="majorHAnsi"/>
          <w:b/>
          <w:bCs/>
          <w:color w:val="auto"/>
          <w:sz w:val="28"/>
          <w:szCs w:val="28"/>
        </w:rPr>
        <w:t xml:space="preserve">peed </w:t>
      </w:r>
      <w:r w:rsidR="002544BB" w:rsidRPr="00410324">
        <w:rPr>
          <w:rFonts w:asciiTheme="majorHAnsi" w:hAnsiTheme="majorHAnsi"/>
          <w:b/>
          <w:bCs/>
          <w:color w:val="auto"/>
          <w:sz w:val="28"/>
          <w:szCs w:val="28"/>
        </w:rPr>
        <w:t>Ground Network</w:t>
      </w:r>
    </w:p>
    <w:p w14:paraId="4D977639" w14:textId="71E9EC3E" w:rsidR="001D2B08" w:rsidRPr="00410324" w:rsidRDefault="000F4F01" w:rsidP="002544BB">
      <w:pPr>
        <w:spacing w:after="220"/>
        <w:jc w:val="center"/>
        <w:rPr>
          <w:rFonts w:asciiTheme="majorHAnsi" w:hAnsiTheme="majorHAnsi"/>
          <w:color w:val="auto"/>
          <w:sz w:val="22"/>
          <w:szCs w:val="22"/>
        </w:rPr>
      </w:pPr>
      <w:r w:rsidRPr="00410324">
        <w:rPr>
          <w:rFonts w:asciiTheme="majorHAnsi" w:hAnsiTheme="majorHAnsi"/>
          <w:i/>
          <w:iCs/>
          <w:color w:val="auto"/>
          <w:sz w:val="22"/>
          <w:szCs w:val="22"/>
        </w:rPr>
        <w:t>A</w:t>
      </w:r>
      <w:r w:rsidR="002544BB" w:rsidRPr="00410324">
        <w:rPr>
          <w:rFonts w:asciiTheme="majorHAnsi" w:hAnsiTheme="majorHAnsi"/>
          <w:i/>
          <w:iCs/>
          <w:color w:val="auto"/>
          <w:sz w:val="22"/>
          <w:szCs w:val="22"/>
        </w:rPr>
        <w:t xml:space="preserve">greement </w:t>
      </w:r>
      <w:r w:rsidR="00905862" w:rsidRPr="00410324">
        <w:rPr>
          <w:rFonts w:asciiTheme="majorHAnsi" w:hAnsiTheme="majorHAnsi"/>
          <w:i/>
          <w:iCs/>
          <w:color w:val="auto"/>
          <w:sz w:val="22"/>
          <w:szCs w:val="22"/>
        </w:rPr>
        <w:t>provides</w:t>
      </w:r>
      <w:r w:rsidR="002544BB" w:rsidRPr="00410324">
        <w:rPr>
          <w:rFonts w:asciiTheme="majorHAnsi" w:hAnsiTheme="majorHAnsi"/>
          <w:i/>
          <w:iCs/>
          <w:color w:val="auto"/>
          <w:sz w:val="22"/>
          <w:szCs w:val="22"/>
        </w:rPr>
        <w:t xml:space="preserve"> a capital-efficient, scalable </w:t>
      </w:r>
      <w:r w:rsidR="00905862" w:rsidRPr="00410324">
        <w:rPr>
          <w:rFonts w:asciiTheme="majorHAnsi" w:hAnsiTheme="majorHAnsi"/>
          <w:i/>
          <w:iCs/>
          <w:color w:val="auto"/>
          <w:sz w:val="22"/>
          <w:szCs w:val="22"/>
        </w:rPr>
        <w:t xml:space="preserve">framework </w:t>
      </w:r>
      <w:r w:rsidR="002544BB" w:rsidRPr="00410324">
        <w:rPr>
          <w:rFonts w:asciiTheme="majorHAnsi" w:hAnsiTheme="majorHAnsi"/>
          <w:i/>
          <w:iCs/>
          <w:color w:val="auto"/>
          <w:sz w:val="22"/>
          <w:szCs w:val="22"/>
        </w:rPr>
        <w:t xml:space="preserve">to </w:t>
      </w:r>
      <w:r w:rsidR="00905862" w:rsidRPr="00410324">
        <w:rPr>
          <w:rFonts w:asciiTheme="majorHAnsi" w:hAnsiTheme="majorHAnsi"/>
          <w:i/>
          <w:iCs/>
          <w:color w:val="auto"/>
          <w:sz w:val="22"/>
          <w:szCs w:val="22"/>
        </w:rPr>
        <w:t>expand</w:t>
      </w:r>
      <w:r w:rsidR="002544BB" w:rsidRPr="00410324">
        <w:rPr>
          <w:rFonts w:asciiTheme="majorHAnsi" w:hAnsiTheme="majorHAnsi"/>
          <w:i/>
          <w:iCs/>
          <w:color w:val="auto"/>
          <w:sz w:val="22"/>
          <w:szCs w:val="22"/>
        </w:rPr>
        <w:t xml:space="preserve"> the </w:t>
      </w:r>
      <w:r w:rsidR="00D61E75" w:rsidRPr="00410324">
        <w:rPr>
          <w:rFonts w:asciiTheme="majorHAnsi" w:hAnsiTheme="majorHAnsi"/>
          <w:i/>
          <w:iCs/>
          <w:color w:val="auto"/>
          <w:sz w:val="22"/>
          <w:szCs w:val="22"/>
        </w:rPr>
        <w:t xml:space="preserve">Telesat </w:t>
      </w:r>
      <w:r w:rsidR="002544BB" w:rsidRPr="00410324">
        <w:rPr>
          <w:rFonts w:asciiTheme="majorHAnsi" w:hAnsiTheme="majorHAnsi"/>
          <w:i/>
          <w:iCs/>
          <w:color w:val="auto"/>
          <w:sz w:val="22"/>
          <w:szCs w:val="22"/>
        </w:rPr>
        <w:t>Lightspeed ground segment worldwide</w:t>
      </w:r>
    </w:p>
    <w:p w14:paraId="3E74D7C0" w14:textId="4E524462" w:rsidR="00F865F3" w:rsidRPr="00410324" w:rsidRDefault="007C559E">
      <w:pPr>
        <w:spacing w:after="160" w:line="276" w:lineRule="auto"/>
        <w:rPr>
          <w:rFonts w:asciiTheme="majorHAnsi" w:hAnsiTheme="majorHAnsi"/>
          <w:color w:val="auto"/>
          <w:sz w:val="22"/>
          <w:szCs w:val="22"/>
        </w:rPr>
      </w:pPr>
      <w:r w:rsidRPr="00410324">
        <w:rPr>
          <w:rFonts w:asciiTheme="majorHAnsi" w:hAnsiTheme="majorHAnsi"/>
          <w:b/>
          <w:bCs/>
          <w:color w:val="auto"/>
          <w:sz w:val="22"/>
          <w:szCs w:val="22"/>
        </w:rPr>
        <w:t xml:space="preserve">PARIS – </w:t>
      </w:r>
      <w:r w:rsidRPr="00EB6164">
        <w:rPr>
          <w:rFonts w:asciiTheme="majorHAnsi" w:hAnsiTheme="majorHAnsi"/>
          <w:b/>
          <w:bCs/>
          <w:color w:val="auto"/>
          <w:sz w:val="22"/>
          <w:szCs w:val="22"/>
        </w:rPr>
        <w:t>September 15,</w:t>
      </w:r>
      <w:r w:rsidRPr="00410324">
        <w:rPr>
          <w:rFonts w:asciiTheme="majorHAnsi" w:hAnsiTheme="majorHAnsi"/>
          <w:b/>
          <w:bCs/>
          <w:color w:val="auto"/>
          <w:sz w:val="22"/>
          <w:szCs w:val="22"/>
        </w:rPr>
        <w:t xml:space="preserve"> 2026 – </w:t>
      </w:r>
      <w:r w:rsidR="002544BB" w:rsidRPr="00410324">
        <w:rPr>
          <w:rFonts w:asciiTheme="majorHAnsi" w:hAnsiTheme="majorHAnsi"/>
          <w:color w:val="auto"/>
          <w:sz w:val="22"/>
          <w:szCs w:val="22"/>
        </w:rPr>
        <w:t xml:space="preserve">Telesat LEO ULC, a subsidiary of </w:t>
      </w:r>
      <w:r w:rsidR="002544BB" w:rsidRPr="004B58D9">
        <w:rPr>
          <w:rFonts w:asciiTheme="majorHAnsi" w:hAnsiTheme="majorHAnsi"/>
          <w:sz w:val="22"/>
          <w:szCs w:val="22"/>
        </w:rPr>
        <w:t>Telesat Corporation</w:t>
      </w:r>
      <w:r w:rsidR="002544BB" w:rsidRPr="00410324">
        <w:rPr>
          <w:rFonts w:asciiTheme="majorHAnsi" w:hAnsiTheme="majorHAnsi"/>
          <w:color w:val="auto"/>
          <w:sz w:val="22"/>
          <w:szCs w:val="22"/>
        </w:rPr>
        <w:t>, one of the world’s largest and most innovative satellite operators</w:t>
      </w:r>
      <w:r w:rsidR="00F865F3" w:rsidRPr="00410324">
        <w:rPr>
          <w:rFonts w:asciiTheme="majorHAnsi" w:hAnsiTheme="majorHAnsi"/>
          <w:color w:val="auto"/>
          <w:sz w:val="22"/>
          <w:szCs w:val="22"/>
        </w:rPr>
        <w:t>,</w:t>
      </w:r>
      <w:r w:rsidR="002544BB" w:rsidRPr="00410324">
        <w:rPr>
          <w:rFonts w:asciiTheme="majorHAnsi" w:hAnsiTheme="majorHAnsi"/>
          <w:color w:val="auto"/>
          <w:sz w:val="22"/>
          <w:szCs w:val="22"/>
        </w:rPr>
        <w:t xml:space="preserve"> </w:t>
      </w:r>
      <w:r w:rsidRPr="00410324">
        <w:rPr>
          <w:rFonts w:asciiTheme="majorHAnsi" w:hAnsiTheme="majorHAnsi"/>
          <w:color w:val="auto"/>
          <w:sz w:val="22"/>
          <w:szCs w:val="22"/>
        </w:rPr>
        <w:t xml:space="preserve">and </w:t>
      </w:r>
      <w:proofErr w:type="spellStart"/>
      <w:r w:rsidRPr="00410324">
        <w:rPr>
          <w:rFonts w:asciiTheme="majorHAnsi" w:hAnsiTheme="majorHAnsi"/>
          <w:color w:val="auto"/>
          <w:sz w:val="22"/>
          <w:szCs w:val="22"/>
        </w:rPr>
        <w:t>SatPort</w:t>
      </w:r>
      <w:proofErr w:type="spellEnd"/>
      <w:r w:rsidR="00976671" w:rsidRPr="00410324">
        <w:rPr>
          <w:rFonts w:asciiTheme="majorHAnsi" w:hAnsiTheme="majorHAnsi"/>
          <w:color w:val="auto"/>
          <w:sz w:val="22"/>
          <w:szCs w:val="22"/>
        </w:rPr>
        <w:t xml:space="preserve"> Infrastructure</w:t>
      </w:r>
      <w:r w:rsidR="00504F67" w:rsidRPr="00410324">
        <w:rPr>
          <w:rFonts w:asciiTheme="majorHAnsi" w:hAnsiTheme="majorHAnsi"/>
          <w:color w:val="auto"/>
          <w:sz w:val="22"/>
          <w:szCs w:val="22"/>
        </w:rPr>
        <w:t>, a leading carrier-neutral ground infrastructure platform provider</w:t>
      </w:r>
      <w:r w:rsidR="00976671" w:rsidRPr="00410324">
        <w:rPr>
          <w:rFonts w:asciiTheme="majorHAnsi" w:hAnsiTheme="majorHAnsi"/>
          <w:color w:val="auto"/>
          <w:sz w:val="22"/>
          <w:szCs w:val="22"/>
        </w:rPr>
        <w:t xml:space="preserve"> backed by global investment firm EQT</w:t>
      </w:r>
      <w:r w:rsidR="00504F67" w:rsidRPr="00410324">
        <w:rPr>
          <w:rFonts w:asciiTheme="majorHAnsi" w:hAnsiTheme="majorHAnsi"/>
          <w:color w:val="auto"/>
          <w:sz w:val="22"/>
          <w:szCs w:val="22"/>
        </w:rPr>
        <w:t>,</w:t>
      </w:r>
      <w:r w:rsidRPr="00410324">
        <w:rPr>
          <w:rFonts w:asciiTheme="majorHAnsi" w:hAnsiTheme="majorHAnsi"/>
          <w:color w:val="auto"/>
          <w:sz w:val="22"/>
          <w:szCs w:val="22"/>
        </w:rPr>
        <w:t xml:space="preserve"> announced </w:t>
      </w:r>
      <w:r w:rsidR="00F865F3" w:rsidRPr="00410324">
        <w:rPr>
          <w:rFonts w:asciiTheme="majorHAnsi" w:hAnsiTheme="majorHAnsi"/>
          <w:color w:val="auto"/>
          <w:sz w:val="22"/>
          <w:szCs w:val="22"/>
        </w:rPr>
        <w:t xml:space="preserve">today </w:t>
      </w:r>
      <w:r w:rsidRPr="00410324">
        <w:rPr>
          <w:rFonts w:asciiTheme="majorHAnsi" w:hAnsiTheme="majorHAnsi"/>
          <w:color w:val="auto"/>
          <w:sz w:val="22"/>
          <w:szCs w:val="22"/>
        </w:rPr>
        <w:t>a global</w:t>
      </w:r>
      <w:r w:rsidR="009762CA" w:rsidRPr="00410324">
        <w:rPr>
          <w:rFonts w:asciiTheme="majorHAnsi" w:hAnsiTheme="majorHAnsi"/>
          <w:color w:val="auto"/>
          <w:sz w:val="22"/>
          <w:szCs w:val="22"/>
        </w:rPr>
        <w:t xml:space="preserve"> b</w:t>
      </w:r>
      <w:r w:rsidRPr="00410324">
        <w:rPr>
          <w:rFonts w:asciiTheme="majorHAnsi" w:hAnsiTheme="majorHAnsi"/>
          <w:color w:val="auto"/>
          <w:sz w:val="22"/>
          <w:szCs w:val="22"/>
        </w:rPr>
        <w:t>uild-to-</w:t>
      </w:r>
      <w:r w:rsidR="009762CA" w:rsidRPr="00410324">
        <w:rPr>
          <w:rFonts w:asciiTheme="majorHAnsi" w:hAnsiTheme="majorHAnsi"/>
          <w:color w:val="auto"/>
          <w:sz w:val="22"/>
          <w:szCs w:val="22"/>
        </w:rPr>
        <w:t>s</w:t>
      </w:r>
      <w:r w:rsidRPr="00410324">
        <w:rPr>
          <w:rFonts w:asciiTheme="majorHAnsi" w:hAnsiTheme="majorHAnsi"/>
          <w:color w:val="auto"/>
          <w:sz w:val="22"/>
          <w:szCs w:val="22"/>
        </w:rPr>
        <w:t xml:space="preserve">uit Master Services Agreement (MSA) to develop, build and </w:t>
      </w:r>
      <w:r w:rsidR="00E61644" w:rsidRPr="00410324">
        <w:rPr>
          <w:rFonts w:asciiTheme="majorHAnsi" w:hAnsiTheme="majorHAnsi"/>
          <w:color w:val="auto"/>
          <w:sz w:val="22"/>
          <w:szCs w:val="22"/>
        </w:rPr>
        <w:t xml:space="preserve">host </w:t>
      </w:r>
      <w:r w:rsidR="00E3709E">
        <w:rPr>
          <w:rFonts w:asciiTheme="majorHAnsi" w:hAnsiTheme="majorHAnsi"/>
          <w:color w:val="auto"/>
          <w:sz w:val="22"/>
          <w:szCs w:val="22"/>
        </w:rPr>
        <w:t xml:space="preserve">certain </w:t>
      </w:r>
      <w:r w:rsidRPr="00410324">
        <w:rPr>
          <w:rFonts w:asciiTheme="majorHAnsi" w:hAnsiTheme="majorHAnsi"/>
          <w:color w:val="auto"/>
          <w:sz w:val="22"/>
          <w:szCs w:val="22"/>
        </w:rPr>
        <w:t xml:space="preserve">landing stations </w:t>
      </w:r>
      <w:r w:rsidR="00F865F3" w:rsidRPr="00410324">
        <w:rPr>
          <w:rFonts w:asciiTheme="majorHAnsi" w:hAnsiTheme="majorHAnsi"/>
          <w:color w:val="auto"/>
          <w:sz w:val="22"/>
          <w:szCs w:val="22"/>
        </w:rPr>
        <w:t xml:space="preserve">to support the Telesat Lightspeed constellation. </w:t>
      </w:r>
    </w:p>
    <w:p w14:paraId="48F04BEA" w14:textId="3E08D700" w:rsidR="00504F67" w:rsidRPr="00410324" w:rsidRDefault="00A6535F">
      <w:pPr>
        <w:spacing w:after="160" w:line="276" w:lineRule="auto"/>
        <w:rPr>
          <w:rFonts w:asciiTheme="majorHAnsi" w:hAnsiTheme="majorHAnsi"/>
          <w:color w:val="auto"/>
          <w:sz w:val="22"/>
          <w:szCs w:val="22"/>
        </w:rPr>
      </w:pPr>
      <w:r w:rsidRPr="00410324">
        <w:rPr>
          <w:rFonts w:asciiTheme="majorHAnsi" w:hAnsiTheme="majorHAnsi"/>
          <w:color w:val="auto"/>
          <w:sz w:val="22"/>
          <w:szCs w:val="22"/>
        </w:rPr>
        <w:t xml:space="preserve">Telesat </w:t>
      </w:r>
      <w:r w:rsidR="00F865F3" w:rsidRPr="00410324">
        <w:rPr>
          <w:rFonts w:asciiTheme="majorHAnsi" w:hAnsiTheme="majorHAnsi"/>
          <w:color w:val="auto"/>
          <w:sz w:val="22"/>
          <w:szCs w:val="22"/>
        </w:rPr>
        <w:t xml:space="preserve">Lightspeed is an advanced low Earth orbit (LEO) satellite network </w:t>
      </w:r>
      <w:r w:rsidR="00990CF1">
        <w:rPr>
          <w:rFonts w:asciiTheme="majorHAnsi" w:hAnsiTheme="majorHAnsi"/>
          <w:color w:val="auto"/>
          <w:sz w:val="22"/>
          <w:szCs w:val="22"/>
        </w:rPr>
        <w:t xml:space="preserve">being </w:t>
      </w:r>
      <w:r w:rsidR="00F865F3" w:rsidRPr="00410324">
        <w:rPr>
          <w:rFonts w:asciiTheme="majorHAnsi" w:hAnsiTheme="majorHAnsi"/>
          <w:color w:val="auto"/>
          <w:sz w:val="22"/>
          <w:szCs w:val="22"/>
        </w:rPr>
        <w:t>designed to deliver secure, high-capacity, fiber-like broadband connectivity worldwide.</w:t>
      </w:r>
      <w:r w:rsidR="00685FC3" w:rsidRPr="00410324">
        <w:rPr>
          <w:rFonts w:asciiTheme="majorHAnsi" w:hAnsiTheme="majorHAnsi"/>
          <w:color w:val="auto"/>
          <w:sz w:val="22"/>
          <w:szCs w:val="22"/>
        </w:rPr>
        <w:t xml:space="preserve"> </w:t>
      </w:r>
      <w:r w:rsidR="00990CF1">
        <w:rPr>
          <w:rFonts w:asciiTheme="majorHAnsi" w:hAnsiTheme="majorHAnsi"/>
          <w:color w:val="auto"/>
          <w:sz w:val="22"/>
          <w:szCs w:val="22"/>
        </w:rPr>
        <w:t xml:space="preserve">Under the MSA, </w:t>
      </w:r>
      <w:proofErr w:type="spellStart"/>
      <w:r w:rsidR="00F865F3" w:rsidRPr="00410324">
        <w:rPr>
          <w:rFonts w:asciiTheme="majorHAnsi" w:hAnsiTheme="majorHAnsi"/>
          <w:color w:val="auto"/>
          <w:sz w:val="22"/>
          <w:szCs w:val="22"/>
        </w:rPr>
        <w:t>Sat</w:t>
      </w:r>
      <w:r w:rsidR="00217F79" w:rsidRPr="00410324">
        <w:rPr>
          <w:rFonts w:asciiTheme="majorHAnsi" w:hAnsiTheme="majorHAnsi"/>
          <w:color w:val="auto"/>
          <w:sz w:val="22"/>
          <w:szCs w:val="22"/>
        </w:rPr>
        <w:t>P</w:t>
      </w:r>
      <w:r w:rsidR="00F865F3" w:rsidRPr="00410324">
        <w:rPr>
          <w:rFonts w:asciiTheme="majorHAnsi" w:hAnsiTheme="majorHAnsi"/>
          <w:color w:val="auto"/>
          <w:sz w:val="22"/>
          <w:szCs w:val="22"/>
        </w:rPr>
        <w:t>ort</w:t>
      </w:r>
      <w:proofErr w:type="spellEnd"/>
      <w:r w:rsidR="00504F67" w:rsidRPr="00410324">
        <w:rPr>
          <w:rFonts w:asciiTheme="majorHAnsi" w:hAnsiTheme="majorHAnsi"/>
          <w:color w:val="auto"/>
          <w:sz w:val="22"/>
          <w:szCs w:val="22"/>
        </w:rPr>
        <w:t xml:space="preserve">, which specializes in build-to-suit teleport and gateway solutions for LEO, MEO and GEO constellations, will deliver ground infrastructure </w:t>
      </w:r>
      <w:r w:rsidR="00F865F3" w:rsidRPr="00410324">
        <w:rPr>
          <w:rFonts w:asciiTheme="majorHAnsi" w:hAnsiTheme="majorHAnsi"/>
          <w:color w:val="auto"/>
          <w:sz w:val="22"/>
          <w:szCs w:val="22"/>
        </w:rPr>
        <w:t>that connect</w:t>
      </w:r>
      <w:r w:rsidR="00504F67" w:rsidRPr="00410324">
        <w:rPr>
          <w:rFonts w:asciiTheme="majorHAnsi" w:hAnsiTheme="majorHAnsi"/>
          <w:color w:val="auto"/>
          <w:sz w:val="22"/>
          <w:szCs w:val="22"/>
        </w:rPr>
        <w:t>s</w:t>
      </w:r>
      <w:r w:rsidR="00F865F3" w:rsidRPr="00410324">
        <w:rPr>
          <w:rFonts w:asciiTheme="majorHAnsi" w:hAnsiTheme="majorHAnsi"/>
          <w:color w:val="auto"/>
          <w:sz w:val="22"/>
          <w:szCs w:val="22"/>
        </w:rPr>
        <w:t xml:space="preserve"> the</w:t>
      </w:r>
      <w:r w:rsidR="00093B0D" w:rsidRPr="00410324">
        <w:rPr>
          <w:rFonts w:asciiTheme="majorHAnsi" w:hAnsiTheme="majorHAnsi"/>
          <w:color w:val="auto"/>
          <w:sz w:val="22"/>
          <w:szCs w:val="22"/>
        </w:rPr>
        <w:t xml:space="preserve"> Telesat</w:t>
      </w:r>
      <w:r w:rsidR="00F865F3" w:rsidRPr="00410324">
        <w:rPr>
          <w:rFonts w:asciiTheme="majorHAnsi" w:hAnsiTheme="majorHAnsi"/>
          <w:color w:val="auto"/>
          <w:sz w:val="22"/>
          <w:szCs w:val="22"/>
        </w:rPr>
        <w:t xml:space="preserve"> Lightspeed constellation to the world’s terrestrial networks. </w:t>
      </w:r>
    </w:p>
    <w:p w14:paraId="33B3C241" w14:textId="67524C0B" w:rsidR="00905862" w:rsidRPr="00410324" w:rsidRDefault="0066372C" w:rsidP="00905862">
      <w:pPr>
        <w:spacing w:after="160" w:line="276" w:lineRule="auto"/>
        <w:rPr>
          <w:rFonts w:asciiTheme="majorHAnsi" w:hAnsiTheme="majorHAnsi"/>
          <w:color w:val="auto"/>
          <w:sz w:val="22"/>
          <w:szCs w:val="22"/>
        </w:rPr>
      </w:pPr>
      <w:r w:rsidRPr="00410324">
        <w:rPr>
          <w:rFonts w:asciiTheme="majorHAnsi" w:hAnsiTheme="majorHAnsi"/>
          <w:color w:val="auto"/>
          <w:sz w:val="22"/>
          <w:szCs w:val="22"/>
        </w:rPr>
        <w:t xml:space="preserve">The agreement gives Telesat a capital-efficient, rapidly scalable path to expand its ground segment worldwide, and establishes </w:t>
      </w:r>
      <w:proofErr w:type="spellStart"/>
      <w:r w:rsidRPr="00410324">
        <w:rPr>
          <w:rFonts w:asciiTheme="majorHAnsi" w:hAnsiTheme="majorHAnsi"/>
          <w:color w:val="auto"/>
          <w:sz w:val="22"/>
          <w:szCs w:val="22"/>
        </w:rPr>
        <w:t>SatPort</w:t>
      </w:r>
      <w:proofErr w:type="spellEnd"/>
      <w:r w:rsidR="00685FC3" w:rsidRPr="00410324">
        <w:rPr>
          <w:rFonts w:asciiTheme="majorHAnsi" w:hAnsiTheme="majorHAnsi"/>
          <w:color w:val="auto"/>
          <w:sz w:val="22"/>
          <w:szCs w:val="22"/>
        </w:rPr>
        <w:t xml:space="preserve"> </w:t>
      </w:r>
      <w:r w:rsidRPr="00410324">
        <w:rPr>
          <w:rFonts w:asciiTheme="majorHAnsi" w:hAnsiTheme="majorHAnsi"/>
          <w:color w:val="auto"/>
          <w:sz w:val="22"/>
          <w:szCs w:val="22"/>
        </w:rPr>
        <w:t xml:space="preserve">as a </w:t>
      </w:r>
      <w:r w:rsidR="00E3709E">
        <w:rPr>
          <w:rFonts w:asciiTheme="majorHAnsi" w:hAnsiTheme="majorHAnsi"/>
          <w:color w:val="auto"/>
          <w:sz w:val="22"/>
          <w:szCs w:val="22"/>
        </w:rPr>
        <w:t xml:space="preserve">non-exclusive </w:t>
      </w:r>
      <w:r w:rsidRPr="00410324">
        <w:rPr>
          <w:rFonts w:asciiTheme="majorHAnsi" w:hAnsiTheme="majorHAnsi"/>
          <w:color w:val="auto"/>
          <w:sz w:val="22"/>
          <w:szCs w:val="22"/>
        </w:rPr>
        <w:t xml:space="preserve">strategic partner for one of the most advanced enterprise- and </w:t>
      </w:r>
      <w:proofErr w:type="spellStart"/>
      <w:r w:rsidR="00981BAE" w:rsidRPr="00410324">
        <w:rPr>
          <w:rFonts w:asciiTheme="majorHAnsi" w:hAnsiTheme="majorHAnsi"/>
          <w:color w:val="auto"/>
          <w:sz w:val="22"/>
          <w:szCs w:val="22"/>
        </w:rPr>
        <w:t>defen</w:t>
      </w:r>
      <w:r w:rsidR="006F5D39">
        <w:rPr>
          <w:rFonts w:asciiTheme="majorHAnsi" w:hAnsiTheme="majorHAnsi"/>
          <w:color w:val="auto"/>
          <w:sz w:val="22"/>
          <w:szCs w:val="22"/>
        </w:rPr>
        <w:t>c</w:t>
      </w:r>
      <w:r w:rsidR="00981BAE" w:rsidRPr="00410324">
        <w:rPr>
          <w:rFonts w:asciiTheme="majorHAnsi" w:hAnsiTheme="majorHAnsi"/>
          <w:color w:val="auto"/>
          <w:sz w:val="22"/>
          <w:szCs w:val="22"/>
        </w:rPr>
        <w:t>e</w:t>
      </w:r>
      <w:proofErr w:type="spellEnd"/>
      <w:r w:rsidRPr="00410324">
        <w:rPr>
          <w:rFonts w:asciiTheme="majorHAnsi" w:hAnsiTheme="majorHAnsi"/>
          <w:color w:val="auto"/>
          <w:sz w:val="22"/>
          <w:szCs w:val="22"/>
        </w:rPr>
        <w:t>-grade LEO networks.</w:t>
      </w:r>
      <w:r w:rsidR="00F865F3" w:rsidRPr="00410324">
        <w:rPr>
          <w:rFonts w:asciiTheme="majorHAnsi" w:hAnsiTheme="majorHAnsi"/>
          <w:color w:val="auto"/>
          <w:sz w:val="22"/>
          <w:szCs w:val="22"/>
        </w:rPr>
        <w:t xml:space="preserve"> </w:t>
      </w:r>
      <w:r w:rsidR="006558D1" w:rsidRPr="006558D1">
        <w:rPr>
          <w:rFonts w:asciiTheme="majorHAnsi" w:hAnsiTheme="majorHAnsi"/>
          <w:color w:val="auto"/>
          <w:sz w:val="22"/>
          <w:szCs w:val="22"/>
        </w:rPr>
        <w:t xml:space="preserve">The MSA is a framework agreement for how </w:t>
      </w:r>
      <w:proofErr w:type="spellStart"/>
      <w:r w:rsidR="006558D1" w:rsidRPr="006558D1">
        <w:rPr>
          <w:rFonts w:asciiTheme="majorHAnsi" w:hAnsiTheme="majorHAnsi"/>
          <w:color w:val="auto"/>
          <w:sz w:val="22"/>
          <w:szCs w:val="22"/>
        </w:rPr>
        <w:t>SatPort</w:t>
      </w:r>
      <w:proofErr w:type="spellEnd"/>
      <w:r w:rsidR="006558D1" w:rsidRPr="006558D1">
        <w:rPr>
          <w:rFonts w:asciiTheme="majorHAnsi" w:hAnsiTheme="majorHAnsi"/>
          <w:color w:val="auto"/>
          <w:sz w:val="22"/>
          <w:szCs w:val="22"/>
        </w:rPr>
        <w:t xml:space="preserve"> can </w:t>
      </w:r>
      <w:r w:rsidR="00905862" w:rsidRPr="00410324">
        <w:rPr>
          <w:rFonts w:asciiTheme="majorHAnsi" w:hAnsiTheme="majorHAnsi"/>
          <w:color w:val="auto"/>
          <w:sz w:val="22"/>
          <w:szCs w:val="22"/>
        </w:rPr>
        <w:t xml:space="preserve">provide </w:t>
      </w:r>
      <w:r w:rsidR="00EC738E" w:rsidRPr="00410324">
        <w:rPr>
          <w:rFonts w:asciiTheme="majorHAnsi" w:hAnsiTheme="majorHAnsi"/>
          <w:color w:val="auto"/>
          <w:sz w:val="22"/>
          <w:szCs w:val="22"/>
        </w:rPr>
        <w:t xml:space="preserve">multiple </w:t>
      </w:r>
      <w:r w:rsidR="00905862" w:rsidRPr="00410324">
        <w:rPr>
          <w:rFonts w:asciiTheme="majorHAnsi" w:hAnsiTheme="majorHAnsi"/>
          <w:color w:val="auto"/>
          <w:sz w:val="22"/>
          <w:szCs w:val="22"/>
        </w:rPr>
        <w:t xml:space="preserve">landing stations across </w:t>
      </w:r>
      <w:r w:rsidR="00EC738E" w:rsidRPr="00410324">
        <w:rPr>
          <w:rFonts w:asciiTheme="majorHAnsi" w:hAnsiTheme="majorHAnsi"/>
          <w:color w:val="auto"/>
          <w:sz w:val="22"/>
          <w:szCs w:val="22"/>
        </w:rPr>
        <w:t>the globe</w:t>
      </w:r>
      <w:r w:rsidR="00905862" w:rsidRPr="00410324">
        <w:rPr>
          <w:rFonts w:asciiTheme="majorHAnsi" w:hAnsiTheme="majorHAnsi"/>
          <w:color w:val="auto"/>
          <w:sz w:val="22"/>
          <w:szCs w:val="22"/>
        </w:rPr>
        <w:t xml:space="preserve"> that are built to Telesat’s design specs, converting ground-segment capital expenditure into predictable operating costs. </w:t>
      </w:r>
    </w:p>
    <w:p w14:paraId="65E2D0E0" w14:textId="49D298BF" w:rsidR="001D2B08" w:rsidRPr="00410324" w:rsidRDefault="0066372C">
      <w:pPr>
        <w:spacing w:after="160" w:line="276" w:lineRule="auto"/>
        <w:rPr>
          <w:rFonts w:asciiTheme="majorHAnsi" w:hAnsiTheme="majorHAnsi"/>
          <w:color w:val="auto"/>
          <w:sz w:val="22"/>
          <w:szCs w:val="22"/>
        </w:rPr>
      </w:pPr>
      <w:proofErr w:type="spellStart"/>
      <w:r w:rsidRPr="00410324">
        <w:rPr>
          <w:rFonts w:asciiTheme="majorHAnsi" w:hAnsiTheme="majorHAnsi"/>
          <w:color w:val="auto"/>
          <w:sz w:val="22"/>
          <w:szCs w:val="22"/>
        </w:rPr>
        <w:t>SatPort’s</w:t>
      </w:r>
      <w:proofErr w:type="spellEnd"/>
      <w:r w:rsidRPr="00410324">
        <w:rPr>
          <w:rFonts w:asciiTheme="majorHAnsi" w:hAnsiTheme="majorHAnsi"/>
          <w:color w:val="auto"/>
          <w:sz w:val="22"/>
          <w:szCs w:val="22"/>
        </w:rPr>
        <w:t xml:space="preserve"> build-to-suit model is designed to meet the sovereign and in-country data-landing requirements that increasingly govern satellite connectivity </w:t>
      </w:r>
      <w:r w:rsidR="00D614B5" w:rsidRPr="00410324">
        <w:rPr>
          <w:rFonts w:asciiTheme="majorHAnsi" w:hAnsiTheme="majorHAnsi"/>
          <w:color w:val="auto"/>
          <w:sz w:val="22"/>
          <w:szCs w:val="22"/>
        </w:rPr>
        <w:t xml:space="preserve">while ensuring Telesat retains ownership, control and operations of all network elements. </w:t>
      </w:r>
    </w:p>
    <w:p w14:paraId="02C0AFD8" w14:textId="5B6000C0" w:rsidR="009F6C96" w:rsidRPr="00410324" w:rsidRDefault="0066372C" w:rsidP="009F6C96">
      <w:pPr>
        <w:spacing w:after="160" w:line="276" w:lineRule="auto"/>
        <w:rPr>
          <w:rFonts w:asciiTheme="majorHAnsi" w:hAnsiTheme="majorHAnsi"/>
          <w:color w:val="auto"/>
          <w:sz w:val="22"/>
          <w:szCs w:val="22"/>
        </w:rPr>
      </w:pPr>
      <w:r w:rsidRPr="00410324">
        <w:rPr>
          <w:rFonts w:asciiTheme="majorHAnsi" w:hAnsiTheme="majorHAnsi"/>
          <w:color w:val="auto"/>
          <w:sz w:val="22"/>
          <w:szCs w:val="22"/>
        </w:rPr>
        <w:t xml:space="preserve"> </w:t>
      </w:r>
      <w:r w:rsidR="009F6C96" w:rsidRPr="00410324">
        <w:rPr>
          <w:rFonts w:asciiTheme="majorHAnsi" w:hAnsiTheme="majorHAnsi"/>
          <w:color w:val="auto"/>
          <w:sz w:val="22"/>
          <w:szCs w:val="22"/>
        </w:rPr>
        <w:t xml:space="preserve">“Telesat Lightspeed is exactly the kind of mission-critical network </w:t>
      </w:r>
      <w:proofErr w:type="spellStart"/>
      <w:r w:rsidR="009F6C96" w:rsidRPr="00410324">
        <w:rPr>
          <w:rFonts w:asciiTheme="majorHAnsi" w:hAnsiTheme="majorHAnsi"/>
          <w:color w:val="auto"/>
          <w:sz w:val="22"/>
          <w:szCs w:val="22"/>
        </w:rPr>
        <w:t>SatPort</w:t>
      </w:r>
      <w:proofErr w:type="spellEnd"/>
      <w:r w:rsidR="009F6C96" w:rsidRPr="00410324">
        <w:rPr>
          <w:rFonts w:asciiTheme="majorHAnsi" w:hAnsiTheme="majorHAnsi"/>
          <w:color w:val="auto"/>
          <w:sz w:val="22"/>
          <w:szCs w:val="22"/>
        </w:rPr>
        <w:t xml:space="preserve"> was built to serve.  </w:t>
      </w:r>
      <w:r w:rsidR="006F5D39" w:rsidRPr="006F5D39">
        <w:rPr>
          <w:rFonts w:asciiTheme="majorHAnsi" w:hAnsiTheme="majorHAnsi"/>
          <w:color w:val="auto"/>
          <w:sz w:val="22"/>
          <w:szCs w:val="22"/>
        </w:rPr>
        <w:t>By delivering ground infrastructure to a common standard, anywhere in the world, Telesat achieves capital efficiency and a scalable framework for deploying ground infrastructure</w:t>
      </w:r>
      <w:r w:rsidR="006F5D39">
        <w:rPr>
          <w:rFonts w:asciiTheme="majorHAnsi" w:hAnsiTheme="majorHAnsi"/>
          <w:color w:val="auto"/>
          <w:sz w:val="22"/>
          <w:szCs w:val="22"/>
        </w:rPr>
        <w:t xml:space="preserve">,” </w:t>
      </w:r>
      <w:r w:rsidR="009F6C96" w:rsidRPr="00410324">
        <w:rPr>
          <w:rFonts w:asciiTheme="majorHAnsi" w:hAnsiTheme="majorHAnsi"/>
          <w:color w:val="auto"/>
          <w:sz w:val="22"/>
          <w:szCs w:val="22"/>
        </w:rPr>
        <w:t xml:space="preserve">said Joe Spytek, Chief Executive Officer, </w:t>
      </w:r>
      <w:proofErr w:type="spellStart"/>
      <w:r w:rsidR="009F6C96" w:rsidRPr="00410324">
        <w:rPr>
          <w:rFonts w:asciiTheme="majorHAnsi" w:hAnsiTheme="majorHAnsi"/>
          <w:color w:val="auto"/>
          <w:sz w:val="22"/>
          <w:szCs w:val="22"/>
        </w:rPr>
        <w:t>SatPort</w:t>
      </w:r>
      <w:proofErr w:type="spellEnd"/>
      <w:r w:rsidR="008E3921" w:rsidRPr="00410324">
        <w:rPr>
          <w:rFonts w:asciiTheme="majorHAnsi" w:hAnsiTheme="majorHAnsi"/>
          <w:color w:val="auto"/>
          <w:sz w:val="22"/>
          <w:szCs w:val="22"/>
        </w:rPr>
        <w:t xml:space="preserve"> Infrastructure</w:t>
      </w:r>
      <w:r w:rsidR="009F6C96" w:rsidRPr="00410324">
        <w:rPr>
          <w:rFonts w:asciiTheme="majorHAnsi" w:hAnsiTheme="majorHAnsi"/>
          <w:color w:val="auto"/>
          <w:sz w:val="22"/>
          <w:szCs w:val="22"/>
        </w:rPr>
        <w:t xml:space="preserve">. “This is a landmark moment for how ground segment will be built in the LEO era – </w:t>
      </w:r>
      <w:r w:rsidR="00E3709E">
        <w:rPr>
          <w:rFonts w:asciiTheme="majorHAnsi" w:hAnsiTheme="majorHAnsi"/>
          <w:color w:val="auto"/>
          <w:sz w:val="22"/>
          <w:szCs w:val="22"/>
        </w:rPr>
        <w:t>multi-tenant</w:t>
      </w:r>
      <w:r w:rsidR="009F6C96" w:rsidRPr="00410324">
        <w:rPr>
          <w:rFonts w:asciiTheme="majorHAnsi" w:hAnsiTheme="majorHAnsi"/>
          <w:color w:val="auto"/>
          <w:sz w:val="22"/>
          <w:szCs w:val="22"/>
        </w:rPr>
        <w:t>, carrier-neutral</w:t>
      </w:r>
      <w:r w:rsidR="002B5C9B">
        <w:rPr>
          <w:rFonts w:asciiTheme="majorHAnsi" w:hAnsiTheme="majorHAnsi"/>
          <w:color w:val="auto"/>
          <w:sz w:val="22"/>
          <w:szCs w:val="22"/>
        </w:rPr>
        <w:t>,</w:t>
      </w:r>
      <w:r w:rsidR="009F6C96" w:rsidRPr="00410324">
        <w:rPr>
          <w:rFonts w:asciiTheme="majorHAnsi" w:hAnsiTheme="majorHAnsi"/>
          <w:color w:val="auto"/>
          <w:sz w:val="22"/>
          <w:szCs w:val="22"/>
        </w:rPr>
        <w:t xml:space="preserve"> and capital-efficient.</w:t>
      </w:r>
      <w:r w:rsidR="00800C61">
        <w:rPr>
          <w:rFonts w:asciiTheme="majorHAnsi" w:hAnsiTheme="majorHAnsi"/>
          <w:color w:val="auto"/>
          <w:sz w:val="22"/>
          <w:szCs w:val="22"/>
        </w:rPr>
        <w:t xml:space="preserve"> </w:t>
      </w:r>
      <w:proofErr w:type="spellStart"/>
      <w:r w:rsidR="00800C61" w:rsidRPr="00800C61">
        <w:rPr>
          <w:rFonts w:asciiTheme="majorHAnsi" w:hAnsiTheme="majorHAnsi"/>
          <w:color w:val="auto"/>
          <w:sz w:val="22"/>
          <w:szCs w:val="22"/>
        </w:rPr>
        <w:t>SatPort</w:t>
      </w:r>
      <w:proofErr w:type="spellEnd"/>
      <w:r w:rsidR="00800C61" w:rsidRPr="00800C61">
        <w:rPr>
          <w:rFonts w:asciiTheme="majorHAnsi" w:hAnsiTheme="majorHAnsi"/>
          <w:color w:val="auto"/>
          <w:sz w:val="22"/>
          <w:szCs w:val="22"/>
        </w:rPr>
        <w:t xml:space="preserve"> is singularly focused on delivering safe, reliable, and scalable ground infrastructure, so satellite operators can trust their mission-critical </w:t>
      </w:r>
      <w:r w:rsidR="00AB1169">
        <w:rPr>
          <w:rFonts w:asciiTheme="majorHAnsi" w:hAnsiTheme="majorHAnsi"/>
          <w:color w:val="auto"/>
          <w:sz w:val="22"/>
          <w:szCs w:val="22"/>
        </w:rPr>
        <w:t>terrestrial expansions</w:t>
      </w:r>
      <w:r w:rsidR="00800C61" w:rsidRPr="00800C61">
        <w:rPr>
          <w:rFonts w:asciiTheme="majorHAnsi" w:hAnsiTheme="majorHAnsi"/>
          <w:color w:val="auto"/>
          <w:sz w:val="22"/>
          <w:szCs w:val="22"/>
        </w:rPr>
        <w:t xml:space="preserve"> to dedicated experts and focus entirely on space.</w:t>
      </w:r>
      <w:r w:rsidR="00800C61">
        <w:rPr>
          <w:rFonts w:asciiTheme="majorHAnsi" w:hAnsiTheme="majorHAnsi"/>
          <w:color w:val="auto"/>
          <w:sz w:val="22"/>
          <w:szCs w:val="22"/>
        </w:rPr>
        <w:t>”</w:t>
      </w:r>
    </w:p>
    <w:p w14:paraId="5D94B60E" w14:textId="173DF91B" w:rsidR="001979F0" w:rsidRDefault="001979F0" w:rsidP="001979F0">
      <w:pPr>
        <w:spacing w:line="300" w:lineRule="atLeast"/>
        <w:rPr>
          <w:rFonts w:asciiTheme="majorHAnsi" w:eastAsia="Times New Roman" w:hAnsiTheme="majorHAnsi" w:cs="Segoe UI"/>
          <w:color w:val="auto"/>
        </w:rPr>
      </w:pPr>
      <w:r w:rsidRPr="00410324">
        <w:rPr>
          <w:rFonts w:asciiTheme="majorHAnsi" w:eastAsia="Times New Roman" w:hAnsiTheme="majorHAnsi" w:cs="Segoe UI"/>
          <w:color w:val="auto"/>
        </w:rPr>
        <w:t xml:space="preserve">“A globally distributed landing station network is essential to delivering the low-latency, secure connectivity our enterprise and government customers expect from Telesat Lightspeed,” said </w:t>
      </w:r>
      <w:r w:rsidR="00E3709E">
        <w:rPr>
          <w:rFonts w:asciiTheme="majorHAnsi" w:eastAsia="Times New Roman" w:hAnsiTheme="majorHAnsi" w:cs="Segoe UI"/>
          <w:color w:val="auto"/>
        </w:rPr>
        <w:t>Asit Tandon</w:t>
      </w:r>
      <w:r w:rsidRPr="00410324">
        <w:rPr>
          <w:rFonts w:asciiTheme="majorHAnsi" w:eastAsia="Times New Roman" w:hAnsiTheme="majorHAnsi" w:cs="Segoe UI"/>
          <w:color w:val="auto"/>
        </w:rPr>
        <w:t xml:space="preserve">, Telesat’s </w:t>
      </w:r>
      <w:r w:rsidR="00E3709E">
        <w:rPr>
          <w:rFonts w:asciiTheme="majorHAnsi" w:eastAsia="Times New Roman" w:hAnsiTheme="majorHAnsi" w:cs="Segoe UI"/>
          <w:color w:val="auto"/>
        </w:rPr>
        <w:t>C</w:t>
      </w:r>
      <w:r w:rsidR="00E3709E" w:rsidRPr="00E3709E">
        <w:rPr>
          <w:rFonts w:asciiTheme="majorHAnsi" w:eastAsia="Times New Roman" w:hAnsiTheme="majorHAnsi" w:cs="Segoe UI"/>
          <w:color w:val="auto"/>
        </w:rPr>
        <w:t>hief Network and Information Officer</w:t>
      </w:r>
      <w:r w:rsidRPr="00410324">
        <w:rPr>
          <w:rFonts w:asciiTheme="majorHAnsi" w:eastAsia="Times New Roman" w:hAnsiTheme="majorHAnsi" w:cs="Segoe UI"/>
          <w:color w:val="auto"/>
        </w:rPr>
        <w:t>. “</w:t>
      </w:r>
      <w:proofErr w:type="spellStart"/>
      <w:r w:rsidRPr="00410324">
        <w:rPr>
          <w:rFonts w:asciiTheme="majorHAnsi" w:eastAsia="Times New Roman" w:hAnsiTheme="majorHAnsi" w:cs="Segoe UI"/>
          <w:color w:val="auto"/>
        </w:rPr>
        <w:t>SatPort's</w:t>
      </w:r>
      <w:proofErr w:type="spellEnd"/>
      <w:r w:rsidRPr="00410324">
        <w:rPr>
          <w:rFonts w:asciiTheme="majorHAnsi" w:eastAsia="Times New Roman" w:hAnsiTheme="majorHAnsi" w:cs="Segoe UI"/>
          <w:color w:val="auto"/>
        </w:rPr>
        <w:t xml:space="preserve"> build-to-suit hosting model, backed by stringent service level commitments that are aligned with our resiliency requirements, gives us the agility to rapidly deploy new sites as needed to meet customer demand and address evolving regulatory or sovereignty requirements.” </w:t>
      </w:r>
    </w:p>
    <w:p w14:paraId="443E26B9" w14:textId="77777777" w:rsidR="00EA73F2" w:rsidRDefault="00EA73F2" w:rsidP="001979F0">
      <w:pPr>
        <w:spacing w:line="300" w:lineRule="atLeast"/>
        <w:rPr>
          <w:rFonts w:asciiTheme="majorHAnsi" w:eastAsia="Times New Roman" w:hAnsiTheme="majorHAnsi" w:cs="Segoe UI"/>
          <w:color w:val="auto"/>
        </w:rPr>
      </w:pPr>
    </w:p>
    <w:p w14:paraId="7E308C3B" w14:textId="77777777" w:rsidR="00EA73F2" w:rsidRPr="00EA73F2" w:rsidRDefault="00EA73F2" w:rsidP="00EA73F2">
      <w:pPr>
        <w:spacing w:line="300" w:lineRule="atLeast"/>
        <w:rPr>
          <w:rFonts w:asciiTheme="majorHAnsi" w:eastAsia="Times New Roman" w:hAnsiTheme="majorHAnsi" w:cs="Segoe UI"/>
          <w:color w:val="auto"/>
        </w:rPr>
      </w:pPr>
      <w:r w:rsidRPr="00EA73F2">
        <w:rPr>
          <w:rFonts w:asciiTheme="majorHAnsi" w:eastAsia="Times New Roman" w:hAnsiTheme="majorHAnsi" w:cs="Segoe UI"/>
          <w:color w:val="auto"/>
        </w:rPr>
        <w:t>Guggenheim Securities acted as sole financial adviser to Telesat.</w:t>
      </w:r>
    </w:p>
    <w:p w14:paraId="6222D94E" w14:textId="77777777" w:rsidR="00445EAA" w:rsidRDefault="00445EAA" w:rsidP="00B95C51">
      <w:pPr>
        <w:pBdr>
          <w:bottom w:val="single" w:sz="6" w:space="2" w:color="AB9079"/>
        </w:pBdr>
        <w:rPr>
          <w:rFonts w:asciiTheme="majorHAnsi" w:hAnsiTheme="majorHAnsi"/>
          <w:b/>
          <w:bCs/>
          <w:caps/>
          <w:color w:val="0E2841"/>
          <w:sz w:val="22"/>
          <w:szCs w:val="22"/>
        </w:rPr>
      </w:pPr>
    </w:p>
    <w:p w14:paraId="0DE49E76" w14:textId="77777777" w:rsidR="00217F79" w:rsidRDefault="00217F79" w:rsidP="00B95C51">
      <w:pPr>
        <w:pBdr>
          <w:bottom w:val="single" w:sz="6" w:space="2" w:color="AB9079"/>
        </w:pBdr>
        <w:rPr>
          <w:rFonts w:asciiTheme="majorHAnsi" w:hAnsiTheme="majorHAnsi"/>
          <w:b/>
          <w:bCs/>
          <w:caps/>
          <w:color w:val="auto"/>
          <w:sz w:val="22"/>
          <w:szCs w:val="22"/>
        </w:rPr>
      </w:pPr>
    </w:p>
    <w:p w14:paraId="3465C95D" w14:textId="77777777" w:rsidR="00A86541" w:rsidRPr="00410324" w:rsidRDefault="00A86541" w:rsidP="00B95C51">
      <w:pPr>
        <w:pBdr>
          <w:bottom w:val="single" w:sz="6" w:space="2" w:color="AB9079"/>
        </w:pBdr>
        <w:rPr>
          <w:rFonts w:asciiTheme="majorHAnsi" w:hAnsiTheme="majorHAnsi"/>
          <w:color w:val="auto"/>
          <w:sz w:val="22"/>
          <w:szCs w:val="22"/>
        </w:rPr>
      </w:pPr>
    </w:p>
    <w:p w14:paraId="60A83864" w14:textId="77777777" w:rsidR="00B95C51" w:rsidRPr="00AB1169" w:rsidRDefault="00B95C51" w:rsidP="00B95C51">
      <w:pPr>
        <w:pBdr>
          <w:bottom w:val="single" w:sz="6" w:space="2" w:color="AB9079"/>
        </w:pBdr>
        <w:rPr>
          <w:rFonts w:asciiTheme="majorHAnsi" w:hAnsiTheme="majorHAnsi"/>
          <w:caps/>
          <w:color w:val="auto"/>
          <w:sz w:val="22"/>
          <w:szCs w:val="22"/>
          <w:lang w:val="fr-CA"/>
        </w:rPr>
      </w:pPr>
    </w:p>
    <w:p w14:paraId="5027CB84" w14:textId="7B65F2A0" w:rsidR="009762CA" w:rsidRPr="00AB1169" w:rsidRDefault="0066372C" w:rsidP="00410324">
      <w:pPr>
        <w:pBdr>
          <w:bottom w:val="single" w:sz="6" w:space="2" w:color="AB9079"/>
        </w:pBdr>
        <w:spacing w:after="120"/>
        <w:rPr>
          <w:rFonts w:asciiTheme="majorHAnsi" w:hAnsiTheme="majorHAnsi"/>
          <w:color w:val="auto"/>
          <w:sz w:val="22"/>
          <w:szCs w:val="22"/>
          <w:lang w:val="fr-CA"/>
        </w:rPr>
      </w:pPr>
      <w:r w:rsidRPr="00AB1169">
        <w:rPr>
          <w:rFonts w:asciiTheme="majorHAnsi" w:hAnsiTheme="majorHAnsi"/>
          <w:b/>
          <w:bCs/>
          <w:caps/>
          <w:color w:val="auto"/>
          <w:sz w:val="22"/>
          <w:szCs w:val="22"/>
          <w:lang w:val="fr-CA"/>
        </w:rPr>
        <w:lastRenderedPageBreak/>
        <w:t>About SatPort</w:t>
      </w:r>
      <w:r w:rsidR="00976671" w:rsidRPr="00AB1169">
        <w:rPr>
          <w:rFonts w:asciiTheme="majorHAnsi" w:hAnsiTheme="majorHAnsi"/>
          <w:b/>
          <w:bCs/>
          <w:caps/>
          <w:color w:val="auto"/>
          <w:sz w:val="22"/>
          <w:szCs w:val="22"/>
          <w:lang w:val="fr-CA"/>
        </w:rPr>
        <w:t xml:space="preserve"> INFRASTRUCTURE</w:t>
      </w:r>
    </w:p>
    <w:p w14:paraId="682BE1B4" w14:textId="3CAE739E" w:rsidR="009762CA" w:rsidRPr="00F05554" w:rsidRDefault="009762CA" w:rsidP="00F05554">
      <w:pPr>
        <w:pBdr>
          <w:bottom w:val="single" w:sz="6" w:space="2" w:color="AB9079"/>
        </w:pBdr>
        <w:spacing w:after="160"/>
        <w:rPr>
          <w:rFonts w:asciiTheme="majorHAnsi" w:hAnsiTheme="majorHAnsi"/>
          <w:color w:val="auto"/>
          <w:sz w:val="22"/>
          <w:szCs w:val="22"/>
        </w:rPr>
      </w:pPr>
      <w:proofErr w:type="spellStart"/>
      <w:r w:rsidRPr="00410324">
        <w:rPr>
          <w:rFonts w:asciiTheme="majorHAnsi" w:hAnsiTheme="majorHAnsi"/>
          <w:color w:val="auto"/>
          <w:sz w:val="22"/>
          <w:szCs w:val="22"/>
        </w:rPr>
        <w:t>SatPort</w:t>
      </w:r>
      <w:proofErr w:type="spellEnd"/>
      <w:r w:rsidRPr="00410324">
        <w:rPr>
          <w:rFonts w:asciiTheme="majorHAnsi" w:hAnsiTheme="majorHAnsi"/>
          <w:color w:val="auto"/>
          <w:sz w:val="22"/>
          <w:szCs w:val="22"/>
        </w:rPr>
        <w:t xml:space="preserve"> </w:t>
      </w:r>
      <w:r w:rsidR="00976671" w:rsidRPr="00410324">
        <w:rPr>
          <w:rFonts w:asciiTheme="majorHAnsi" w:hAnsiTheme="majorHAnsi"/>
          <w:color w:val="auto"/>
          <w:sz w:val="22"/>
          <w:szCs w:val="22"/>
        </w:rPr>
        <w:t xml:space="preserve">Infrastructure </w:t>
      </w:r>
      <w:r w:rsidRPr="00410324">
        <w:rPr>
          <w:rFonts w:asciiTheme="majorHAnsi" w:hAnsiTheme="majorHAnsi"/>
          <w:color w:val="auto"/>
          <w:sz w:val="22"/>
          <w:szCs w:val="22"/>
        </w:rPr>
        <w:t xml:space="preserve">is the world’s leading carrier-neutral </w:t>
      </w:r>
      <w:r w:rsidR="00976671" w:rsidRPr="00410324">
        <w:rPr>
          <w:rFonts w:asciiTheme="majorHAnsi" w:hAnsiTheme="majorHAnsi"/>
          <w:color w:val="auto"/>
          <w:sz w:val="22"/>
          <w:szCs w:val="22"/>
        </w:rPr>
        <w:t xml:space="preserve">satellite </w:t>
      </w:r>
      <w:r w:rsidRPr="00410324">
        <w:rPr>
          <w:rFonts w:asciiTheme="majorHAnsi" w:hAnsiTheme="majorHAnsi"/>
          <w:color w:val="auto"/>
          <w:sz w:val="22"/>
          <w:szCs w:val="22"/>
        </w:rPr>
        <w:t>ground infrastructure platform, purpose-built to support the next generation of satellite operators. Backed by long-term capital from global investment organization EQT</w:t>
      </w:r>
      <w:r w:rsidR="00976671" w:rsidRPr="00410324">
        <w:rPr>
          <w:rFonts w:asciiTheme="majorHAnsi" w:hAnsiTheme="majorHAnsi"/>
          <w:color w:val="auto"/>
          <w:sz w:val="22"/>
          <w:szCs w:val="22"/>
        </w:rPr>
        <w:t xml:space="preserve"> Infrastructure</w:t>
      </w:r>
      <w:r w:rsidRPr="00410324">
        <w:rPr>
          <w:rFonts w:asciiTheme="majorHAnsi" w:hAnsiTheme="majorHAnsi"/>
          <w:color w:val="auto"/>
          <w:sz w:val="22"/>
          <w:szCs w:val="22"/>
        </w:rPr>
        <w:t xml:space="preserve">, </w:t>
      </w:r>
      <w:proofErr w:type="spellStart"/>
      <w:r w:rsidRPr="00410324">
        <w:rPr>
          <w:rFonts w:asciiTheme="majorHAnsi" w:hAnsiTheme="majorHAnsi"/>
          <w:color w:val="auto"/>
          <w:sz w:val="22"/>
          <w:szCs w:val="22"/>
        </w:rPr>
        <w:t>SatPort</w:t>
      </w:r>
      <w:proofErr w:type="spellEnd"/>
      <w:r w:rsidRPr="00410324">
        <w:rPr>
          <w:rFonts w:asciiTheme="majorHAnsi" w:hAnsiTheme="majorHAnsi"/>
          <w:color w:val="auto"/>
          <w:sz w:val="22"/>
          <w:szCs w:val="22"/>
        </w:rPr>
        <w:t xml:space="preserve"> delivers build-to-suit teleport and gateway solutions for LEO, MEO, and GEO constellations. We combine deep operational expertise with the financial strength to fund, develop, and scale mission-critical infrastructure globally. Our model enables customers to lock in predictable operating costs across the full asset lifecycle, eliminating capital burden and operational complexity. Orbitally agnostic and globally distributed, </w:t>
      </w:r>
      <w:proofErr w:type="spellStart"/>
      <w:r w:rsidRPr="00410324">
        <w:rPr>
          <w:rFonts w:asciiTheme="majorHAnsi" w:hAnsiTheme="majorHAnsi"/>
          <w:color w:val="auto"/>
          <w:sz w:val="22"/>
          <w:szCs w:val="22"/>
        </w:rPr>
        <w:t>SatPort</w:t>
      </w:r>
      <w:proofErr w:type="spellEnd"/>
      <w:r w:rsidRPr="00410324">
        <w:rPr>
          <w:rFonts w:asciiTheme="majorHAnsi" w:hAnsiTheme="majorHAnsi"/>
          <w:color w:val="auto"/>
          <w:sz w:val="22"/>
          <w:szCs w:val="22"/>
        </w:rPr>
        <w:t xml:space="preserve"> provides secure, resilient, and strategically located infrastructure, allowing operators to focus on space while we power their ground networks. For more information visit </w:t>
      </w:r>
      <w:hyperlink r:id="rId9" w:history="1">
        <w:r w:rsidRPr="00410324">
          <w:rPr>
            <w:rStyle w:val="Hyperlink"/>
            <w:rFonts w:asciiTheme="majorHAnsi" w:hAnsiTheme="majorHAnsi"/>
            <w:sz w:val="22"/>
            <w:szCs w:val="22"/>
          </w:rPr>
          <w:t>satport.com</w:t>
        </w:r>
      </w:hyperlink>
      <w:r w:rsidRPr="00410324">
        <w:rPr>
          <w:rFonts w:asciiTheme="majorHAnsi" w:hAnsiTheme="majorHAnsi"/>
          <w:color w:val="auto"/>
          <w:sz w:val="22"/>
          <w:szCs w:val="22"/>
        </w:rPr>
        <w:t>.</w:t>
      </w:r>
    </w:p>
    <w:p w14:paraId="443A76EC" w14:textId="11F11128" w:rsidR="009762CA" w:rsidRPr="00410324" w:rsidRDefault="0066372C" w:rsidP="00F05554">
      <w:pPr>
        <w:pBdr>
          <w:bottom w:val="single" w:sz="6" w:space="2" w:color="AB9079"/>
        </w:pBdr>
        <w:spacing w:after="160"/>
        <w:rPr>
          <w:rFonts w:asciiTheme="majorHAnsi" w:hAnsiTheme="majorHAnsi"/>
          <w:color w:val="auto"/>
          <w:sz w:val="22"/>
          <w:szCs w:val="22"/>
        </w:rPr>
      </w:pPr>
      <w:r w:rsidRPr="00410324">
        <w:rPr>
          <w:rFonts w:asciiTheme="majorHAnsi" w:hAnsiTheme="majorHAnsi"/>
          <w:b/>
          <w:bCs/>
          <w:caps/>
          <w:color w:val="auto"/>
          <w:sz w:val="22"/>
          <w:szCs w:val="22"/>
        </w:rPr>
        <w:t xml:space="preserve">About Telesat  </w:t>
      </w:r>
    </w:p>
    <w:p w14:paraId="0B3DC635" w14:textId="05E884C7" w:rsidR="009762CA" w:rsidRPr="00410324" w:rsidRDefault="009762CA" w:rsidP="00F05554">
      <w:pPr>
        <w:pBdr>
          <w:bottom w:val="single" w:sz="6" w:space="2" w:color="AB9079"/>
        </w:pBdr>
        <w:spacing w:after="160"/>
        <w:rPr>
          <w:rFonts w:asciiTheme="majorHAnsi" w:hAnsiTheme="majorHAnsi"/>
          <w:color w:val="auto"/>
          <w:sz w:val="22"/>
          <w:szCs w:val="22"/>
        </w:rPr>
      </w:pPr>
      <w:r w:rsidRPr="00410324">
        <w:rPr>
          <w:rFonts w:asciiTheme="majorHAnsi" w:hAnsiTheme="majorHAnsi"/>
          <w:color w:val="auto"/>
          <w:sz w:val="22"/>
          <w:szCs w:val="22"/>
        </w:rPr>
        <w:t>Telesat Corporation (Nasdaq and TSX: TSAT) (“Telesat”) is a global satellite operator and leader in advanced satellite communications, redefining broadband connectivity through its Telesat Lightspeed Low Earth Orbit (LEO) network.</w:t>
      </w:r>
    </w:p>
    <w:p w14:paraId="4651C72F" w14:textId="2ED73E2D" w:rsidR="009762CA" w:rsidRPr="00410324" w:rsidRDefault="009762CA" w:rsidP="00F05554">
      <w:pPr>
        <w:pBdr>
          <w:bottom w:val="single" w:sz="6" w:space="2" w:color="AB9079"/>
        </w:pBdr>
        <w:spacing w:after="160"/>
        <w:rPr>
          <w:rFonts w:asciiTheme="majorHAnsi" w:hAnsiTheme="majorHAnsi"/>
          <w:color w:val="auto"/>
          <w:sz w:val="22"/>
          <w:szCs w:val="22"/>
        </w:rPr>
      </w:pPr>
      <w:r w:rsidRPr="00410324">
        <w:rPr>
          <w:rFonts w:asciiTheme="majorHAnsi" w:hAnsiTheme="majorHAnsi"/>
          <w:color w:val="auto"/>
          <w:sz w:val="22"/>
          <w:szCs w:val="22"/>
        </w:rPr>
        <w:t xml:space="preserve">Designed from inception for interoperability with enterprise and government applications, Telesat Lightspeed delivers secure, resilient, high-performance broadband connectivity with </w:t>
      </w:r>
      <w:proofErr w:type="spellStart"/>
      <w:r w:rsidRPr="00410324">
        <w:rPr>
          <w:rFonts w:asciiTheme="majorHAnsi" w:hAnsiTheme="majorHAnsi"/>
          <w:color w:val="auto"/>
          <w:sz w:val="22"/>
          <w:szCs w:val="22"/>
        </w:rPr>
        <w:t>fibre</w:t>
      </w:r>
      <w:proofErr w:type="spellEnd"/>
      <w:r w:rsidRPr="00410324">
        <w:rPr>
          <w:rFonts w:asciiTheme="majorHAnsi" w:hAnsiTheme="majorHAnsi"/>
          <w:color w:val="auto"/>
          <w:sz w:val="22"/>
          <w:szCs w:val="22"/>
        </w:rPr>
        <w:t xml:space="preserve">-like speeds. Its advanced, software-defined architecture operates in both commercial and military Ka-band spectrum, enabling mission-critical communications with enhanced security and protection against evolving threats. Purpose-built to meet the most demanding requirements, Telesat Lightspeed provides telecom, enterprise, aviation, maritime and </w:t>
      </w:r>
      <w:proofErr w:type="spellStart"/>
      <w:r w:rsidRPr="00410324">
        <w:rPr>
          <w:rFonts w:asciiTheme="majorHAnsi" w:hAnsiTheme="majorHAnsi"/>
          <w:color w:val="auto"/>
          <w:sz w:val="22"/>
          <w:szCs w:val="22"/>
        </w:rPr>
        <w:t>defen</w:t>
      </w:r>
      <w:r w:rsidR="006F5D39">
        <w:rPr>
          <w:rFonts w:asciiTheme="majorHAnsi" w:hAnsiTheme="majorHAnsi"/>
          <w:color w:val="auto"/>
          <w:sz w:val="22"/>
          <w:szCs w:val="22"/>
        </w:rPr>
        <w:t>c</w:t>
      </w:r>
      <w:r w:rsidRPr="00410324">
        <w:rPr>
          <w:rFonts w:asciiTheme="majorHAnsi" w:hAnsiTheme="majorHAnsi"/>
          <w:color w:val="auto"/>
          <w:sz w:val="22"/>
          <w:szCs w:val="22"/>
        </w:rPr>
        <w:t>e</w:t>
      </w:r>
      <w:proofErr w:type="spellEnd"/>
      <w:r w:rsidRPr="00410324">
        <w:rPr>
          <w:rFonts w:asciiTheme="majorHAnsi" w:hAnsiTheme="majorHAnsi"/>
          <w:color w:val="auto"/>
          <w:sz w:val="22"/>
          <w:szCs w:val="22"/>
        </w:rPr>
        <w:t xml:space="preserve"> customers with unprecedented flexibility and control to dynamically manage their own services and deliver differentiated, end-to-end connectivity solutions worldwide. </w:t>
      </w:r>
    </w:p>
    <w:p w14:paraId="67DA3020" w14:textId="1B0C86EB" w:rsidR="00410324" w:rsidRPr="00410324" w:rsidRDefault="009762CA" w:rsidP="00F05554">
      <w:pPr>
        <w:pBdr>
          <w:bottom w:val="single" w:sz="6" w:space="2" w:color="AB9079"/>
        </w:pBdr>
        <w:spacing w:after="160"/>
        <w:rPr>
          <w:rFonts w:asciiTheme="majorHAnsi" w:hAnsiTheme="majorHAnsi"/>
          <w:color w:val="auto"/>
          <w:sz w:val="22"/>
          <w:szCs w:val="22"/>
        </w:rPr>
      </w:pPr>
      <w:r w:rsidRPr="00410324">
        <w:rPr>
          <w:rFonts w:asciiTheme="majorHAnsi" w:hAnsiTheme="majorHAnsi"/>
          <w:color w:val="auto"/>
          <w:sz w:val="22"/>
          <w:szCs w:val="22"/>
        </w:rPr>
        <w:t xml:space="preserve">With nearly 60 years of innovation, engineering excellence and a collaborative approach to customer success, Telesat is uniquely positioned to deliver secure, scalable and future-ready connectivity solutions that help customers solve their most complex communications challenges and achieve mission success. For updates on Telesat, follow us on </w:t>
      </w:r>
      <w:hyperlink r:id="rId10" w:history="1">
        <w:r w:rsidRPr="00410324">
          <w:rPr>
            <w:rStyle w:val="Hyperlink"/>
            <w:rFonts w:asciiTheme="majorHAnsi" w:hAnsiTheme="majorHAnsi"/>
            <w:sz w:val="22"/>
            <w:szCs w:val="22"/>
          </w:rPr>
          <w:t>LinkedIn</w:t>
        </w:r>
      </w:hyperlink>
      <w:r w:rsidRPr="00410324">
        <w:rPr>
          <w:rFonts w:asciiTheme="majorHAnsi" w:hAnsiTheme="majorHAnsi"/>
          <w:color w:val="auto"/>
          <w:sz w:val="22"/>
          <w:szCs w:val="22"/>
        </w:rPr>
        <w:t xml:space="preserve">, </w:t>
      </w:r>
      <w:hyperlink r:id="rId11" w:history="1">
        <w:r w:rsidRPr="00410324">
          <w:rPr>
            <w:rStyle w:val="Hyperlink"/>
            <w:rFonts w:asciiTheme="majorHAnsi" w:hAnsiTheme="majorHAnsi"/>
            <w:sz w:val="22"/>
            <w:szCs w:val="22"/>
          </w:rPr>
          <w:t>X</w:t>
        </w:r>
      </w:hyperlink>
      <w:r w:rsidRPr="00410324">
        <w:rPr>
          <w:rFonts w:asciiTheme="majorHAnsi" w:hAnsiTheme="majorHAnsi"/>
          <w:color w:val="auto"/>
          <w:sz w:val="22"/>
          <w:szCs w:val="22"/>
        </w:rPr>
        <w:t xml:space="preserve">, or visit </w:t>
      </w:r>
      <w:hyperlink r:id="rId12" w:history="1">
        <w:r w:rsidR="00410324" w:rsidRPr="00410324">
          <w:rPr>
            <w:rStyle w:val="Hyperlink"/>
            <w:rFonts w:asciiTheme="majorHAnsi" w:hAnsiTheme="majorHAnsi"/>
            <w:sz w:val="22"/>
            <w:szCs w:val="22"/>
          </w:rPr>
          <w:t>www.telesat.com</w:t>
        </w:r>
      </w:hyperlink>
      <w:r w:rsidRPr="00410324">
        <w:rPr>
          <w:rFonts w:asciiTheme="majorHAnsi" w:hAnsiTheme="majorHAnsi"/>
          <w:color w:val="auto"/>
          <w:sz w:val="22"/>
          <w:szCs w:val="22"/>
        </w:rPr>
        <w:t>.</w:t>
      </w:r>
    </w:p>
    <w:p w14:paraId="5FD17FBA" w14:textId="0B9A7A1F" w:rsidR="000A4336" w:rsidRPr="00F05554" w:rsidRDefault="000A4336" w:rsidP="00F05554">
      <w:pPr>
        <w:spacing w:after="160"/>
        <w:rPr>
          <w:b/>
          <w:bCs/>
          <w:sz w:val="22"/>
          <w:szCs w:val="22"/>
        </w:rPr>
      </w:pPr>
    </w:p>
    <w:sectPr w:rsidR="000A4336" w:rsidRPr="00F05554">
      <w:headerReference w:type="default" r:id="rId13"/>
      <w:pgSz w:w="11906" w:h="16838"/>
      <w:pgMar w:top="1000" w:right="1000" w:bottom="100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E03F4" w14:textId="77777777" w:rsidR="00880349" w:rsidRDefault="00880349" w:rsidP="002544BB">
      <w:r>
        <w:separator/>
      </w:r>
    </w:p>
  </w:endnote>
  <w:endnote w:type="continuationSeparator" w:id="0">
    <w:p w14:paraId="3BAAAC87" w14:textId="77777777" w:rsidR="00880349" w:rsidRDefault="00880349" w:rsidP="00254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6934D" w14:textId="77777777" w:rsidR="00880349" w:rsidRDefault="00880349" w:rsidP="002544BB">
      <w:r>
        <w:separator/>
      </w:r>
    </w:p>
  </w:footnote>
  <w:footnote w:type="continuationSeparator" w:id="0">
    <w:p w14:paraId="42EABCB4" w14:textId="77777777" w:rsidR="00880349" w:rsidRDefault="00880349" w:rsidP="002544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C9AF3" w14:textId="35BD7060" w:rsidR="002544BB" w:rsidRDefault="002544BB" w:rsidP="002544B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67641"/>
    <w:multiLevelType w:val="hybridMultilevel"/>
    <w:tmpl w:val="EA4C2E7A"/>
    <w:lvl w:ilvl="0" w:tplc="4AB4631A">
      <w:start w:val="1"/>
      <w:numFmt w:val="bullet"/>
      <w:lvlText w:val="●"/>
      <w:lvlJc w:val="left"/>
      <w:pPr>
        <w:ind w:left="720" w:hanging="360"/>
      </w:pPr>
    </w:lvl>
    <w:lvl w:ilvl="1" w:tplc="718A5918">
      <w:start w:val="1"/>
      <w:numFmt w:val="bullet"/>
      <w:lvlText w:val="○"/>
      <w:lvlJc w:val="left"/>
      <w:pPr>
        <w:ind w:left="1440" w:hanging="360"/>
      </w:pPr>
    </w:lvl>
    <w:lvl w:ilvl="2" w:tplc="55A4CFE8">
      <w:start w:val="1"/>
      <w:numFmt w:val="bullet"/>
      <w:lvlText w:val="■"/>
      <w:lvlJc w:val="left"/>
      <w:pPr>
        <w:ind w:left="2160" w:hanging="360"/>
      </w:pPr>
    </w:lvl>
    <w:lvl w:ilvl="3" w:tplc="A85ECF42">
      <w:start w:val="1"/>
      <w:numFmt w:val="bullet"/>
      <w:lvlText w:val="●"/>
      <w:lvlJc w:val="left"/>
      <w:pPr>
        <w:ind w:left="2880" w:hanging="360"/>
      </w:pPr>
    </w:lvl>
    <w:lvl w:ilvl="4" w:tplc="BE6A7638">
      <w:start w:val="1"/>
      <w:numFmt w:val="bullet"/>
      <w:lvlText w:val="○"/>
      <w:lvlJc w:val="left"/>
      <w:pPr>
        <w:ind w:left="3600" w:hanging="360"/>
      </w:pPr>
    </w:lvl>
    <w:lvl w:ilvl="5" w:tplc="A89E2C26">
      <w:start w:val="1"/>
      <w:numFmt w:val="bullet"/>
      <w:lvlText w:val="■"/>
      <w:lvlJc w:val="left"/>
      <w:pPr>
        <w:ind w:left="4320" w:hanging="360"/>
      </w:pPr>
    </w:lvl>
    <w:lvl w:ilvl="6" w:tplc="043CD9B4">
      <w:start w:val="1"/>
      <w:numFmt w:val="bullet"/>
      <w:lvlText w:val="●"/>
      <w:lvlJc w:val="left"/>
      <w:pPr>
        <w:ind w:left="5040" w:hanging="360"/>
      </w:pPr>
    </w:lvl>
    <w:lvl w:ilvl="7" w:tplc="9066384A">
      <w:start w:val="1"/>
      <w:numFmt w:val="bullet"/>
      <w:lvlText w:val="●"/>
      <w:lvlJc w:val="left"/>
      <w:pPr>
        <w:ind w:left="5760" w:hanging="360"/>
      </w:pPr>
    </w:lvl>
    <w:lvl w:ilvl="8" w:tplc="C88A0684">
      <w:start w:val="1"/>
      <w:numFmt w:val="bullet"/>
      <w:lvlText w:val="●"/>
      <w:lvlJc w:val="left"/>
      <w:pPr>
        <w:ind w:left="6480" w:hanging="360"/>
      </w:pPr>
    </w:lvl>
  </w:abstractNum>
  <w:num w:numId="1" w16cid:durableId="201460409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B08"/>
    <w:rsid w:val="00042987"/>
    <w:rsid w:val="00090601"/>
    <w:rsid w:val="00093B0D"/>
    <w:rsid w:val="000964AD"/>
    <w:rsid w:val="000A4336"/>
    <w:rsid w:val="000F4F01"/>
    <w:rsid w:val="001734B4"/>
    <w:rsid w:val="001979F0"/>
    <w:rsid w:val="001A7B74"/>
    <w:rsid w:val="001D2B08"/>
    <w:rsid w:val="001E620C"/>
    <w:rsid w:val="00217F79"/>
    <w:rsid w:val="002544BB"/>
    <w:rsid w:val="0027488E"/>
    <w:rsid w:val="002B5C9B"/>
    <w:rsid w:val="002F17CF"/>
    <w:rsid w:val="003253C9"/>
    <w:rsid w:val="00332934"/>
    <w:rsid w:val="00335666"/>
    <w:rsid w:val="0034627B"/>
    <w:rsid w:val="00357D9B"/>
    <w:rsid w:val="003E762D"/>
    <w:rsid w:val="003F0F15"/>
    <w:rsid w:val="00402A90"/>
    <w:rsid w:val="00410324"/>
    <w:rsid w:val="00410931"/>
    <w:rsid w:val="0042727B"/>
    <w:rsid w:val="00433898"/>
    <w:rsid w:val="00445EAA"/>
    <w:rsid w:val="0046189D"/>
    <w:rsid w:val="00462FB1"/>
    <w:rsid w:val="004A365B"/>
    <w:rsid w:val="004B58D9"/>
    <w:rsid w:val="004D53B9"/>
    <w:rsid w:val="00504F67"/>
    <w:rsid w:val="00516C6A"/>
    <w:rsid w:val="00571CBF"/>
    <w:rsid w:val="005B431F"/>
    <w:rsid w:val="005D768E"/>
    <w:rsid w:val="0060168F"/>
    <w:rsid w:val="00605E1C"/>
    <w:rsid w:val="00620CF1"/>
    <w:rsid w:val="006216CC"/>
    <w:rsid w:val="00634B7B"/>
    <w:rsid w:val="006558D1"/>
    <w:rsid w:val="0066372C"/>
    <w:rsid w:val="00664736"/>
    <w:rsid w:val="006706AB"/>
    <w:rsid w:val="00685FC3"/>
    <w:rsid w:val="00691B36"/>
    <w:rsid w:val="006922A4"/>
    <w:rsid w:val="006F5D39"/>
    <w:rsid w:val="00755350"/>
    <w:rsid w:val="0075768C"/>
    <w:rsid w:val="007858EE"/>
    <w:rsid w:val="007C559E"/>
    <w:rsid w:val="00800C61"/>
    <w:rsid w:val="008621F5"/>
    <w:rsid w:val="00874BD1"/>
    <w:rsid w:val="00880349"/>
    <w:rsid w:val="008A6550"/>
    <w:rsid w:val="008E3921"/>
    <w:rsid w:val="00905862"/>
    <w:rsid w:val="009313FC"/>
    <w:rsid w:val="009347AE"/>
    <w:rsid w:val="0096237B"/>
    <w:rsid w:val="009762CA"/>
    <w:rsid w:val="00976671"/>
    <w:rsid w:val="00981BAE"/>
    <w:rsid w:val="00982F97"/>
    <w:rsid w:val="00990CF1"/>
    <w:rsid w:val="00991B96"/>
    <w:rsid w:val="0099419A"/>
    <w:rsid w:val="009D02B8"/>
    <w:rsid w:val="009D3EDB"/>
    <w:rsid w:val="009E5814"/>
    <w:rsid w:val="009F6C96"/>
    <w:rsid w:val="00A3211C"/>
    <w:rsid w:val="00A6535F"/>
    <w:rsid w:val="00A835B9"/>
    <w:rsid w:val="00A86541"/>
    <w:rsid w:val="00AB1169"/>
    <w:rsid w:val="00AC4982"/>
    <w:rsid w:val="00AD19B4"/>
    <w:rsid w:val="00B32FE4"/>
    <w:rsid w:val="00B86DC6"/>
    <w:rsid w:val="00B95C51"/>
    <w:rsid w:val="00BB038F"/>
    <w:rsid w:val="00C670F3"/>
    <w:rsid w:val="00CC16B7"/>
    <w:rsid w:val="00CF2600"/>
    <w:rsid w:val="00D565E2"/>
    <w:rsid w:val="00D614B5"/>
    <w:rsid w:val="00D61E75"/>
    <w:rsid w:val="00D87484"/>
    <w:rsid w:val="00DB4C44"/>
    <w:rsid w:val="00DC0C03"/>
    <w:rsid w:val="00DD3005"/>
    <w:rsid w:val="00DE0D32"/>
    <w:rsid w:val="00DF66E2"/>
    <w:rsid w:val="00E11A94"/>
    <w:rsid w:val="00E21469"/>
    <w:rsid w:val="00E3709E"/>
    <w:rsid w:val="00E61644"/>
    <w:rsid w:val="00E833B4"/>
    <w:rsid w:val="00EA1100"/>
    <w:rsid w:val="00EA73F2"/>
    <w:rsid w:val="00EB6164"/>
    <w:rsid w:val="00EC1614"/>
    <w:rsid w:val="00EC738E"/>
    <w:rsid w:val="00EE1EDB"/>
    <w:rsid w:val="00F05554"/>
    <w:rsid w:val="00F359A9"/>
    <w:rsid w:val="00F47D3A"/>
    <w:rsid w:val="00F5173F"/>
    <w:rsid w:val="00F660EA"/>
    <w:rsid w:val="00F719DB"/>
    <w:rsid w:val="00F865F3"/>
    <w:rsid w:val="00FD2EB1"/>
    <w:rsid w:val="00FE0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12EB2"/>
  <w15:docId w15:val="{7C0BC8E5-0C7F-4800-A9C6-2170A14C2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color w:val="222222"/>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544BB"/>
    <w:pPr>
      <w:tabs>
        <w:tab w:val="center" w:pos="4680"/>
        <w:tab w:val="right" w:pos="9360"/>
      </w:tabs>
    </w:pPr>
  </w:style>
  <w:style w:type="character" w:customStyle="1" w:styleId="HeaderChar">
    <w:name w:val="Header Char"/>
    <w:basedOn w:val="DefaultParagraphFont"/>
    <w:link w:val="Header"/>
    <w:uiPriority w:val="99"/>
    <w:rsid w:val="002544BB"/>
  </w:style>
  <w:style w:type="paragraph" w:styleId="Footer">
    <w:name w:val="footer"/>
    <w:basedOn w:val="Normal"/>
    <w:link w:val="FooterChar"/>
    <w:uiPriority w:val="99"/>
    <w:unhideWhenUsed/>
    <w:rsid w:val="002544BB"/>
    <w:pPr>
      <w:tabs>
        <w:tab w:val="center" w:pos="4680"/>
        <w:tab w:val="right" w:pos="9360"/>
      </w:tabs>
    </w:pPr>
  </w:style>
  <w:style w:type="character" w:customStyle="1" w:styleId="FooterChar">
    <w:name w:val="Footer Char"/>
    <w:basedOn w:val="DefaultParagraphFont"/>
    <w:link w:val="Footer"/>
    <w:uiPriority w:val="99"/>
    <w:rsid w:val="002544BB"/>
  </w:style>
  <w:style w:type="character" w:styleId="UnresolvedMention">
    <w:name w:val="Unresolved Mention"/>
    <w:basedOn w:val="DefaultParagraphFont"/>
    <w:uiPriority w:val="99"/>
    <w:semiHidden/>
    <w:unhideWhenUsed/>
    <w:rsid w:val="009762CA"/>
    <w:rPr>
      <w:color w:val="605E5C"/>
      <w:shd w:val="clear" w:color="auto" w:fill="E1DFDD"/>
    </w:rPr>
  </w:style>
  <w:style w:type="paragraph" w:styleId="Revision">
    <w:name w:val="Revision"/>
    <w:hidden/>
    <w:uiPriority w:val="99"/>
    <w:semiHidden/>
    <w:rsid w:val="00691B36"/>
  </w:style>
  <w:style w:type="character" w:styleId="CommentReference">
    <w:name w:val="annotation reference"/>
    <w:basedOn w:val="DefaultParagraphFont"/>
    <w:uiPriority w:val="99"/>
    <w:semiHidden/>
    <w:unhideWhenUsed/>
    <w:rsid w:val="00691B36"/>
    <w:rPr>
      <w:sz w:val="16"/>
      <w:szCs w:val="16"/>
    </w:rPr>
  </w:style>
  <w:style w:type="paragraph" w:styleId="CommentText">
    <w:name w:val="annotation text"/>
    <w:basedOn w:val="Normal"/>
    <w:link w:val="CommentTextChar"/>
    <w:uiPriority w:val="99"/>
    <w:unhideWhenUsed/>
    <w:rsid w:val="00691B36"/>
    <w:rPr>
      <w:sz w:val="20"/>
      <w:szCs w:val="20"/>
    </w:rPr>
  </w:style>
  <w:style w:type="character" w:customStyle="1" w:styleId="CommentTextChar">
    <w:name w:val="Comment Text Char"/>
    <w:basedOn w:val="DefaultParagraphFont"/>
    <w:link w:val="CommentText"/>
    <w:uiPriority w:val="99"/>
    <w:rsid w:val="00691B36"/>
    <w:rPr>
      <w:sz w:val="20"/>
      <w:szCs w:val="20"/>
    </w:rPr>
  </w:style>
  <w:style w:type="paragraph" w:styleId="CommentSubject">
    <w:name w:val="annotation subject"/>
    <w:basedOn w:val="CommentText"/>
    <w:next w:val="CommentText"/>
    <w:link w:val="CommentSubjectChar"/>
    <w:uiPriority w:val="99"/>
    <w:semiHidden/>
    <w:unhideWhenUsed/>
    <w:rsid w:val="00691B36"/>
    <w:rPr>
      <w:b/>
      <w:bCs/>
    </w:rPr>
  </w:style>
  <w:style w:type="character" w:customStyle="1" w:styleId="CommentSubjectChar">
    <w:name w:val="Comment Subject Char"/>
    <w:basedOn w:val="CommentTextChar"/>
    <w:link w:val="CommentSubject"/>
    <w:uiPriority w:val="99"/>
    <w:semiHidden/>
    <w:rsid w:val="00691B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telesa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x.com/Telesa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linkedin.com/company/telesat.com/" TargetMode="External"/><Relationship Id="rId4" Type="http://schemas.openxmlformats.org/officeDocument/2006/relationships/webSettings" Target="webSettings.xml"/><Relationship Id="rId9" Type="http://schemas.openxmlformats.org/officeDocument/2006/relationships/hyperlink" Target="file:///C:\Users\alix.wright\Downloads\satport.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867</Words>
  <Characters>4739</Characters>
  <Application>Microsoft Office Word</Application>
  <DocSecurity>0</DocSecurity>
  <Lines>121</Lines>
  <Paragraphs>70</Paragraphs>
  <ScaleCrop>false</ScaleCrop>
  <HeadingPairs>
    <vt:vector size="2" baseType="variant">
      <vt:variant>
        <vt:lpstr>Title</vt:lpstr>
      </vt:variant>
      <vt:variant>
        <vt:i4>1</vt:i4>
      </vt:variant>
    </vt:vector>
  </HeadingPairs>
  <TitlesOfParts>
    <vt:vector size="1" baseType="lpstr">
      <vt:lpstr>SatPort x Telesat — Press Release (Draft)</vt:lpstr>
    </vt:vector>
  </TitlesOfParts>
  <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SatPort x Telesat — Press Release (Draft)</dc:title>
  <dc:creator>SatPort</dc:creator>
  <cp:lastModifiedBy>Alix Wright</cp:lastModifiedBy>
  <cp:revision>4</cp:revision>
  <dcterms:created xsi:type="dcterms:W3CDTF">2026-09-15T13:42:00Z</dcterms:created>
  <dcterms:modified xsi:type="dcterms:W3CDTF">2026-09-15T13:42:00Z</dcterms:modified>
</cp:coreProperties>
</file>